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Minion Pro" w:eastAsiaTheme="minorHAnsi" w:hAnsi="Minion Pro" w:cs="Minion Pro"/>
          <w:color w:val="000000"/>
          <w:szCs w:val="24"/>
        </w:rPr>
        <w:id w:val="1539321294"/>
        <w:docPartObj>
          <w:docPartGallery w:val="Cover Pages"/>
          <w:docPartUnique/>
        </w:docPartObj>
      </w:sdtPr>
      <w:sdtEndPr/>
      <w:sdtContent>
        <w:p w14:paraId="7EFC8C36" w14:textId="77777777" w:rsidR="00D7401C" w:rsidRDefault="00D7401C">
          <w:r>
            <w:rPr>
              <w:b/>
              <w:noProof/>
              <w:sz w:val="28"/>
              <w:szCs w:val="28"/>
              <w:u w:val="single"/>
            </w:rPr>
            <mc:AlternateContent>
              <mc:Choice Requires="wps">
                <w:drawing>
                  <wp:anchor distT="0" distB="0" distL="114300" distR="114300" simplePos="0" relativeHeight="251669504" behindDoc="0" locked="0" layoutInCell="1" allowOverlap="1" wp14:anchorId="3BE3EBFE" wp14:editId="31E1401F">
                    <wp:simplePos x="0" y="0"/>
                    <wp:positionH relativeFrom="column">
                      <wp:posOffset>-1021715</wp:posOffset>
                    </wp:positionH>
                    <wp:positionV relativeFrom="paragraph">
                      <wp:posOffset>-829763</wp:posOffset>
                    </wp:positionV>
                    <wp:extent cx="7219315" cy="444500"/>
                    <wp:effectExtent l="0" t="0" r="0" b="0"/>
                    <wp:wrapNone/>
                    <wp:docPr id="1" name="Text Box 1"/>
                    <wp:cNvGraphicFramePr/>
                    <a:graphic xmlns:a="http://schemas.openxmlformats.org/drawingml/2006/main">
                      <a:graphicData uri="http://schemas.microsoft.com/office/word/2010/wordprocessingShape">
                        <wps:wsp>
                          <wps:cNvSpPr txBox="1"/>
                          <wps:spPr>
                            <a:xfrm>
                              <a:off x="0" y="0"/>
                              <a:ext cx="7219315" cy="444500"/>
                            </a:xfrm>
                            <a:prstGeom prst="rect">
                              <a:avLst/>
                            </a:prstGeom>
                            <a:noFill/>
                            <a:ln w="6350">
                              <a:noFill/>
                            </a:ln>
                          </wps:spPr>
                          <wps:txbx>
                            <w:txbxContent>
                              <w:p w14:paraId="1C188337" w14:textId="77777777" w:rsidR="00D7401C" w:rsidRPr="00C544B1" w:rsidRDefault="00D7401C" w:rsidP="00D7401C">
                                <w:pPr>
                                  <w:jc w:val="right"/>
                                  <w:rPr>
                                    <w:rFonts w:ascii="Arial" w:hAnsi="Arial" w:cs="Arial"/>
                                    <w:color w:val="3B3838" w:themeColor="background2" w:themeShade="40"/>
                                    <w:sz w:val="16"/>
                                    <w:szCs w:val="16"/>
                                  </w:rPr>
                                </w:pPr>
                                <w:r w:rsidRPr="00C544B1">
                                  <w:rPr>
                                    <w:rFonts w:ascii="Arial" w:hAnsi="Arial" w:cs="Arial"/>
                                    <w:color w:val="3B3838" w:themeColor="background2" w:themeShade="40"/>
                                    <w:sz w:val="16"/>
                                    <w:szCs w:val="16"/>
                                  </w:rPr>
                                  <w:t>sath.org.uk/migration-and-empire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BD64F6E" id="_x0000_t202" coordsize="21600,21600" o:spt="202" path="m,l,21600r21600,l21600,xe">
                    <v:stroke joinstyle="miter"/>
                    <v:path gradientshapeok="t" o:connecttype="rect"/>
                  </v:shapetype>
                  <v:shape id="Text Box 1" o:spid="_x0000_s1026" type="#_x0000_t202" style="position:absolute;margin-left:-80.45pt;margin-top:-65.35pt;width:568.45pt;height:3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Ll0bGAIAACwEAAAOAAAAZHJzL2Uyb0RvYy54bWysU1tv2yAUfp+0/4B4X2ynTi9WnCprlWlS&#13;&#10;1VZKpz4TDLElzGFAYme/fgfsXNTtadoLHDiHc/m+j/l93yqyF9Y1oEuaTVJKhOZQNXpb0h9vqy+3&#13;&#10;lDjPdMUUaFHSg3D0fvH507wzhZhCDaoSlmAS7YrOlLT23hRJ4ngtWuYmYIRGpwTbMo9Hu00qyzrM&#13;&#10;3qpkmqbXSQe2Mha4cA5vHwcnXcT8UgruX6R0whNVUuzNx9XGdRPWZDFnxdYyUzd8bIP9QxctazQW&#13;&#10;PaV6ZJ6RnW3+SNU23IID6Scc2gSkbLiIM+A0WfphmnXNjIizIDjOnGBy/y8tf96vzaslvv8KPRIY&#13;&#10;AOmMKxxehnl6aduwY6cE/Qjh4QSb6D3heHkzze6ushklHH15ns/SiGtyfm2s898EtCQYJbVIS0SL&#13;&#10;7Z+cx4oYegwJxTSsGqUiNUqTrqTXV7M0Pjh58IXS+PDca7B8v+nHATZQHXAuCwPlzvBVg8WfmPOv&#13;&#10;zCLHOArq1r/gIhVgERgtSmqwv/52H+IRevRS0qFmSup+7pgVlKjvGkm5y/I8iCwe8tnNFA/20rO5&#13;&#10;9Ohd+wAoywx/iOHRDPFeHU1poX1HeS9DVXQxzbF2Sf3RfPCDkvF7cLFcxiCUlWH+Sa8ND6kDnAHa&#13;&#10;t/6dWTPi75G5ZziqixUfaBhiByKWOw+yiRwFgAdUR9xRkpG68fsEzV+eY9T5ky9+AwAA//8DAFBL&#13;&#10;AwQUAAYACAAAACEAcd75guYAAAASAQAADwAAAGRycy9kb3ducmV2LnhtbExPwW7CMAy9T+IfIiPt&#13;&#10;BglMK1CaItQJTZq2A4zLbmkT2mqJ0zUBun39zGm7WPbz8/N72WZwll1MH1qPEmZTAcxg5XWLtYTj&#13;&#10;+26yBBaiQq2sRyPh2wTY5KO7TKXaX3FvLodYMxLBkCoJTYxdynmoGuNUmPrOIO1Ovncq0tjXXPfq&#13;&#10;SuLO8rkQCXeqRfrQqM4Ujak+D2cn4aXYval9OXfLH1s8v5623dfx41HK+/HwtKayXQOLZoh/F3DL&#13;&#10;QP4hJ2OlP6MOzEqYzBKxIu6texALYMRZLRIKWRKUEMLzjP+Pkv8CAAD//wMAUEsBAi0AFAAGAAgA&#13;&#10;AAAhALaDOJL+AAAA4QEAABMAAAAAAAAAAAAAAAAAAAAAAFtDb250ZW50X1R5cGVzXS54bWxQSwEC&#13;&#10;LQAUAAYACAAAACEAOP0h/9YAAACUAQAACwAAAAAAAAAAAAAAAAAvAQAAX3JlbHMvLnJlbHNQSwEC&#13;&#10;LQAUAAYACAAAACEA2S5dGxgCAAAsBAAADgAAAAAAAAAAAAAAAAAuAgAAZHJzL2Uyb0RvYy54bWxQ&#13;&#10;SwECLQAUAAYACAAAACEAcd75guYAAAASAQAADwAAAAAAAAAAAAAAAAByBAAAZHJzL2Rvd25yZXYu&#13;&#10;eG1sUEsFBgAAAAAEAAQA8wAAAIUFAAAAAA==&#13;&#10;" filled="f" stroked="f" strokeweight=".5pt">
                    <v:textbox>
                      <w:txbxContent>
                        <w:p w:rsidR="00D7401C" w:rsidRPr="00C544B1" w:rsidRDefault="00D7401C" w:rsidP="00D7401C">
                          <w:pPr>
                            <w:jc w:val="right"/>
                            <w:rPr>
                              <w:rFonts w:ascii="Arial" w:hAnsi="Arial" w:cs="Arial"/>
                              <w:color w:val="3B3838" w:themeColor="background2" w:themeShade="40"/>
                              <w:sz w:val="16"/>
                              <w:szCs w:val="16"/>
                            </w:rPr>
                          </w:pPr>
                          <w:r w:rsidRPr="00C544B1">
                            <w:rPr>
                              <w:rFonts w:ascii="Arial" w:hAnsi="Arial" w:cs="Arial"/>
                              <w:color w:val="3B3838" w:themeColor="background2" w:themeShade="40"/>
                              <w:sz w:val="16"/>
                              <w:szCs w:val="16"/>
                            </w:rPr>
                            <w:t>sath.org.uk/migration-and-empire</w:t>
                          </w:r>
                        </w:p>
                      </w:txbxContent>
                    </v:textbox>
                  </v:shape>
                </w:pict>
              </mc:Fallback>
            </mc:AlternateContent>
          </w:r>
          <w:r w:rsidRPr="00031D7C">
            <w:rPr>
              <w:b/>
              <w:bCs/>
              <w:noProof/>
            </w:rPr>
            <w:drawing>
              <wp:anchor distT="0" distB="0" distL="114300" distR="114300" simplePos="0" relativeHeight="251666432" behindDoc="1" locked="1" layoutInCell="1" allowOverlap="1" wp14:anchorId="2965BEBA" wp14:editId="3F52BAC4">
                <wp:simplePos x="0" y="0"/>
                <wp:positionH relativeFrom="margin">
                  <wp:posOffset>-914400</wp:posOffset>
                </wp:positionH>
                <wp:positionV relativeFrom="margin">
                  <wp:posOffset>-1437640</wp:posOffset>
                </wp:positionV>
                <wp:extent cx="7538085" cy="10666730"/>
                <wp:effectExtent l="0" t="0" r="5715" b="1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538085" cy="10666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9BF458" w14:textId="77777777" w:rsidR="00211DF1" w:rsidRDefault="00D7401C" w:rsidP="00211DF1">
          <w:pPr>
            <w:pStyle w:val="NoParagraphStyle"/>
          </w:pPr>
          <w:r>
            <w:rPr>
              <w:b/>
              <w:noProof/>
              <w:sz w:val="28"/>
              <w:szCs w:val="28"/>
              <w:u w:val="single"/>
            </w:rPr>
            <mc:AlternateContent>
              <mc:Choice Requires="wps">
                <w:drawing>
                  <wp:anchor distT="0" distB="0" distL="114300" distR="114300" simplePos="0" relativeHeight="251668480" behindDoc="0" locked="0" layoutInCell="1" allowOverlap="1" wp14:anchorId="63D3B8D5" wp14:editId="538E97E5">
                    <wp:simplePos x="0" y="0"/>
                    <wp:positionH relativeFrom="column">
                      <wp:posOffset>-732790</wp:posOffset>
                    </wp:positionH>
                    <wp:positionV relativeFrom="paragraph">
                      <wp:posOffset>7954192</wp:posOffset>
                    </wp:positionV>
                    <wp:extent cx="7219666" cy="44450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7219666" cy="444500"/>
                            </a:xfrm>
                            <a:prstGeom prst="rect">
                              <a:avLst/>
                            </a:prstGeom>
                            <a:noFill/>
                            <a:ln w="6350">
                              <a:noFill/>
                            </a:ln>
                          </wps:spPr>
                          <wps:txbx>
                            <w:txbxContent>
                              <w:p w14:paraId="736A172E" w14:textId="48701CB0" w:rsidR="00D7401C" w:rsidRPr="00272429" w:rsidRDefault="00272429" w:rsidP="00D7401C">
                                <w:pPr>
                                  <w:jc w:val="center"/>
                                  <w:rPr>
                                    <w:rFonts w:ascii="Arial" w:hAnsi="Arial" w:cs="Arial"/>
                                    <w:color w:val="3B3838" w:themeColor="background2" w:themeShade="40"/>
                                    <w:sz w:val="24"/>
                                    <w:szCs w:val="24"/>
                                  </w:rPr>
                                </w:pPr>
                                <w:r w:rsidRPr="00272429">
                                  <w:rPr>
                                    <w:rFonts w:ascii="Times New Roman" w:hAnsi="Times New Roman" w:cs="Times New Roman"/>
                                    <w:b/>
                                    <w:bCs/>
                                    <w:i/>
                                    <w:iCs/>
                                    <w:sz w:val="32"/>
                                    <w:szCs w:val="32"/>
                                  </w:rPr>
                                  <w:t>Introduction to the history of European settlement in Australia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D3B8D5" id="_x0000_t202" coordsize="21600,21600" o:spt="202" path="m,l,21600r21600,l21600,xe">
                    <v:stroke joinstyle="miter"/>
                    <v:path gradientshapeok="t" o:connecttype="rect"/>
                  </v:shapetype>
                  <v:shape id="Text Box 57" o:spid="_x0000_s1027" type="#_x0000_t202" style="position:absolute;margin-left:-57.7pt;margin-top:626.3pt;width:568.5pt;height:3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hAkiGgIAADMEAAAOAAAAZHJzL2Uyb0RvYy54bWysU01vGyEQvVfqf0Dc6127a6dZeR25iVxV&#13;&#10;ipJITpUzZsGLxDIUsHfdX9+B9ZfSnqpeYGCG+XjvMb/rW032wnkFpqLjUU6JMBxqZbYV/fG6+vSF&#13;&#10;Eh+YqZkGIyp6EJ7eLT5+mHe2FBNoQNfCEUxifNnZijYh2DLLPG9Ey/wIrDDolOBaFvDotlntWIfZ&#13;&#10;W51N8nyWdeBq64AL7/H2YXDSRcovpeDhWUovAtEVxd5CWl1aN3HNFnNWbh2zjeLHNtg/dNEyZbDo&#13;&#10;OdUDC4zsnPojVau4Aw8yjDi0GUipuEgz4DTj/N0064ZZkWZBcLw9w+T/X1r+tF/bF0dC/xV6JDAC&#13;&#10;0llferyM8/TStXHHTgn6EcLDGTbRB8Lx8mYyvp3NZpRw9BVFMc0TrtnltXU+fBPQkmhU1CEtCS22&#13;&#10;f/QBK2LoKSQWM7BSWidqtCFdRWefp3l6cPbgC23w4aXXaIV+0xNVX82xgfqA4zkYmPeWrxT28Mh8&#13;&#10;eGEOqcaJUL7hGRepAWvB0aKkAffrb/cxHhlALyUdSqei/ueOOUGJ/m6Qm9txUUStpUMxvZngwV17&#13;&#10;Ntces2vvAdU5xo9ieTJjfNAnUzpo31Dly1gVXcxwrF3RcDLvwyBo/CVcLJcpCNVlWXg0a8tj6ohq&#13;&#10;RPi1f2POHmkISOATnETGyndsDLEDH8tdAKkSVRHnAdUj/KjMxODxF0XpX59T1OWvL34DAAD//wMA&#13;&#10;UEsDBBQABgAIAAAAIQBrRg5X5wAAABQBAAAPAAAAZHJzL2Rvd25yZXYueG1sTE/BTsMwDL0j8Q+R&#13;&#10;kbhtaQOdpq7pNBVNSAgOG7twS5usrUic0mRb4evxTnCxbL/n5/eK9eQsO5sx9B4lpPMEmMHG6x5b&#13;&#10;CYf37WwJLESFWlmPRsK3CbAub28KlWt/wZ0572PLSARDriR0MQ4556HpjFNh7geDhB396FSkcWy5&#13;&#10;HtWFxJ3lIkkW3Kke6UOnBlN1pvncn5yEl2r7pna1cMsfWz2/HjfD1+Ejk/L+bnpaUdmsgEUzxb8L&#13;&#10;uGYg/1CSsdqfUAdmJczSNHskLiEiEwtgV04iUupq6h4E7XhZ8P9hyl8AAAD//wMAUEsBAi0AFAAG&#13;&#10;AAgAAAAhALaDOJL+AAAA4QEAABMAAAAAAAAAAAAAAAAAAAAAAFtDb250ZW50X1R5cGVzXS54bWxQ&#13;&#10;SwECLQAUAAYACAAAACEAOP0h/9YAAACUAQAACwAAAAAAAAAAAAAAAAAvAQAAX3JlbHMvLnJlbHNQ&#13;&#10;SwECLQAUAAYACAAAACEABIQJIhoCAAAzBAAADgAAAAAAAAAAAAAAAAAuAgAAZHJzL2Uyb0RvYy54&#13;&#10;bWxQSwECLQAUAAYACAAAACEAa0YOV+cAAAAUAQAADwAAAAAAAAAAAAAAAAB0BAAAZHJzL2Rvd25y&#13;&#10;ZXYueG1sUEsFBgAAAAAEAAQA8wAAAIgFAAAAAA==&#13;&#10;" filled="f" stroked="f" strokeweight=".5pt">
                    <v:textbox>
                      <w:txbxContent>
                        <w:p w14:paraId="736A172E" w14:textId="48701CB0" w:rsidR="00D7401C" w:rsidRPr="00272429" w:rsidRDefault="00272429" w:rsidP="00D7401C">
                          <w:pPr>
                            <w:jc w:val="center"/>
                            <w:rPr>
                              <w:rFonts w:ascii="Arial" w:hAnsi="Arial" w:cs="Arial"/>
                              <w:color w:val="3B3838" w:themeColor="background2" w:themeShade="40"/>
                              <w:sz w:val="24"/>
                              <w:szCs w:val="24"/>
                            </w:rPr>
                          </w:pPr>
                          <w:r w:rsidRPr="00272429">
                            <w:rPr>
                              <w:rFonts w:ascii="Times New Roman" w:hAnsi="Times New Roman" w:cs="Times New Roman"/>
                              <w:b/>
                              <w:bCs/>
                              <w:i/>
                              <w:iCs/>
                              <w:sz w:val="32"/>
                              <w:szCs w:val="32"/>
                            </w:rPr>
                            <w:t>Introduction to the history of European settlement in Australia</w:t>
                          </w:r>
                        </w:p>
                      </w:txbxContent>
                    </v:textbox>
                  </v:shape>
                </w:pict>
              </mc:Fallback>
            </mc:AlternateContent>
          </w:r>
          <w:r>
            <w:br w:type="page"/>
          </w:r>
        </w:p>
      </w:sdtContent>
    </w:sdt>
    <w:p w14:paraId="34C7BD10" w14:textId="77777777" w:rsidR="00272429" w:rsidRPr="00B25780" w:rsidRDefault="00272429" w:rsidP="00272429">
      <w:pPr>
        <w:rPr>
          <w:rFonts w:ascii="Times New Roman" w:hAnsi="Times New Roman" w:cs="Times New Roman"/>
          <w:b/>
          <w:bCs/>
          <w:i/>
          <w:iCs/>
          <w:sz w:val="22"/>
        </w:rPr>
      </w:pPr>
      <w:r w:rsidRPr="00B25780">
        <w:rPr>
          <w:rFonts w:ascii="Times New Roman" w:hAnsi="Times New Roman" w:cs="Times New Roman"/>
          <w:b/>
          <w:bCs/>
          <w:i/>
          <w:iCs/>
          <w:sz w:val="22"/>
        </w:rPr>
        <w:lastRenderedPageBreak/>
        <w:t>Introduction to the history of European settlement in Australia. Adapted from ‘Indigenous Cultures and Contact History: Timeline’</w:t>
      </w:r>
      <w:r>
        <w:rPr>
          <w:rFonts w:ascii="Times New Roman" w:hAnsi="Times New Roman" w:cs="Times New Roman"/>
          <w:b/>
          <w:bCs/>
          <w:i/>
          <w:iCs/>
          <w:sz w:val="22"/>
        </w:rPr>
        <w:t>:</w:t>
      </w:r>
      <w:r w:rsidRPr="00B25780">
        <w:rPr>
          <w:rFonts w:ascii="Times New Roman" w:hAnsi="Times New Roman" w:cs="Times New Roman"/>
          <w:b/>
          <w:bCs/>
          <w:i/>
          <w:iCs/>
          <w:sz w:val="22"/>
        </w:rPr>
        <w:t xml:space="preserve"> </w:t>
      </w:r>
      <w:hyperlink r:id="rId8" w:history="1">
        <w:r w:rsidRPr="00B25780">
          <w:rPr>
            <w:rStyle w:val="Hyperlink"/>
            <w:rFonts w:ascii="Times New Roman" w:hAnsi="Times New Roman" w:cs="Times New Roman"/>
            <w:b/>
            <w:bCs/>
            <w:i/>
            <w:iCs/>
            <w:sz w:val="22"/>
          </w:rPr>
          <w:t>https://www.nma.gov.au/learn/encounters-education/timeline</w:t>
        </w:r>
      </w:hyperlink>
      <w:r w:rsidRPr="00B25780">
        <w:rPr>
          <w:rFonts w:ascii="Times New Roman" w:hAnsi="Times New Roman" w:cs="Times New Roman"/>
          <w:b/>
          <w:bCs/>
          <w:i/>
          <w:iCs/>
          <w:sz w:val="22"/>
        </w:rPr>
        <w:t>, and the Australian War Memorial</w:t>
      </w:r>
      <w:r>
        <w:rPr>
          <w:rFonts w:ascii="Times New Roman" w:hAnsi="Times New Roman" w:cs="Times New Roman"/>
          <w:b/>
          <w:bCs/>
          <w:i/>
          <w:iCs/>
          <w:sz w:val="22"/>
        </w:rPr>
        <w:t>:</w:t>
      </w:r>
      <w:r w:rsidRPr="00B25780">
        <w:rPr>
          <w:rFonts w:ascii="Times New Roman" w:hAnsi="Times New Roman" w:cs="Times New Roman"/>
          <w:b/>
          <w:bCs/>
          <w:i/>
          <w:iCs/>
          <w:sz w:val="22"/>
        </w:rPr>
        <w:t xml:space="preserve"> </w:t>
      </w:r>
      <w:hyperlink r:id="rId9" w:history="1">
        <w:r w:rsidRPr="00B25780">
          <w:rPr>
            <w:rStyle w:val="Hyperlink"/>
            <w:rFonts w:ascii="Times New Roman" w:hAnsi="Times New Roman" w:cs="Times New Roman"/>
            <w:b/>
            <w:bCs/>
            <w:i/>
            <w:iCs/>
            <w:sz w:val="22"/>
          </w:rPr>
          <w:t>https://www.awm.gov.au/articles/atwar/colonial</w:t>
        </w:r>
      </w:hyperlink>
      <w:r w:rsidRPr="00B25780">
        <w:rPr>
          <w:rFonts w:ascii="Times New Roman" w:hAnsi="Times New Roman" w:cs="Times New Roman"/>
          <w:b/>
          <w:bCs/>
          <w:i/>
          <w:iCs/>
          <w:sz w:val="22"/>
        </w:rPr>
        <w:t xml:space="preserve"> </w:t>
      </w:r>
    </w:p>
    <w:p w14:paraId="6DACE61A" w14:textId="77777777" w:rsidR="00272429" w:rsidRPr="00B25780" w:rsidRDefault="00272429" w:rsidP="00272429">
      <w:pPr>
        <w:rPr>
          <w:rFonts w:ascii="Times New Roman" w:hAnsi="Times New Roman" w:cs="Times New Roman"/>
          <w:sz w:val="22"/>
        </w:rPr>
      </w:pPr>
    </w:p>
    <w:p w14:paraId="1D0464BD" w14:textId="77777777" w:rsidR="00272429" w:rsidRPr="00D97AC3" w:rsidRDefault="00272429" w:rsidP="00272429">
      <w:pPr>
        <w:rPr>
          <w:rFonts w:ascii="Times New Roman" w:hAnsi="Times New Roman" w:cs="Times New Roman"/>
          <w:sz w:val="22"/>
        </w:rPr>
      </w:pPr>
      <w:r w:rsidRPr="00D97AC3">
        <w:rPr>
          <w:rFonts w:ascii="Times New Roman" w:hAnsi="Times New Roman" w:cs="Times New Roman"/>
          <w:sz w:val="22"/>
        </w:rPr>
        <w:t>In 1788 British ships carrying some 1,500 people landed on the shores of Sydney Cove in Australia. That expedition, called the First Fleet, was the beginning of the British coloni</w:t>
      </w:r>
      <w:r w:rsidRPr="00B25780">
        <w:rPr>
          <w:rFonts w:ascii="Times New Roman" w:hAnsi="Times New Roman" w:cs="Times New Roman"/>
          <w:sz w:val="22"/>
        </w:rPr>
        <w:t>s</w:t>
      </w:r>
      <w:r w:rsidRPr="00D97AC3">
        <w:rPr>
          <w:rFonts w:ascii="Times New Roman" w:hAnsi="Times New Roman" w:cs="Times New Roman"/>
          <w:sz w:val="22"/>
        </w:rPr>
        <w:t xml:space="preserve">ation of the continent. </w:t>
      </w:r>
    </w:p>
    <w:p w14:paraId="4C9972B6" w14:textId="77777777" w:rsidR="00272429" w:rsidRPr="00D97AC3" w:rsidRDefault="00272429" w:rsidP="00272429">
      <w:pPr>
        <w:rPr>
          <w:rFonts w:ascii="Times New Roman" w:hAnsi="Times New Roman" w:cs="Times New Roman"/>
          <w:sz w:val="22"/>
        </w:rPr>
      </w:pPr>
      <w:r w:rsidRPr="00D97AC3">
        <w:rPr>
          <w:rFonts w:ascii="Times New Roman" w:hAnsi="Times New Roman" w:cs="Times New Roman"/>
          <w:sz w:val="22"/>
        </w:rPr>
        <w:t xml:space="preserve">Before the arrival of the First Fleet, the Indigenous peoples were the only people to have lived in Australia. They belonged to </w:t>
      </w:r>
      <w:r w:rsidRPr="00B25780">
        <w:rPr>
          <w:rFonts w:ascii="Times New Roman" w:hAnsi="Times New Roman" w:cs="Times New Roman"/>
          <w:sz w:val="22"/>
        </w:rPr>
        <w:t>over 300</w:t>
      </w:r>
      <w:r w:rsidRPr="00D97AC3">
        <w:rPr>
          <w:rFonts w:ascii="Times New Roman" w:hAnsi="Times New Roman" w:cs="Times New Roman"/>
          <w:sz w:val="22"/>
        </w:rPr>
        <w:t xml:space="preserve"> different nations or groups, each with its own language or dialect, laws, beliefs, and customs. </w:t>
      </w:r>
    </w:p>
    <w:p w14:paraId="6B1CD57D" w14:textId="1009573E" w:rsidR="00272429" w:rsidRPr="00D97AC3" w:rsidRDefault="00272429" w:rsidP="00272429">
      <w:pPr>
        <w:rPr>
          <w:rFonts w:ascii="Times New Roman" w:hAnsi="Times New Roman" w:cs="Times New Roman"/>
          <w:sz w:val="22"/>
        </w:rPr>
      </w:pPr>
      <w:r w:rsidRPr="00D97AC3">
        <w:rPr>
          <w:rFonts w:ascii="Times New Roman" w:hAnsi="Times New Roman" w:cs="Times New Roman"/>
          <w:sz w:val="22"/>
        </w:rPr>
        <w:t>The consequences of colonization on Indigenous Australians were devastating. Most scholars have estimated that the Indigenous population before European settlement was between 300,000 and 750,000 people. Between 1788 and 1900 their numbers were reduced by as much as 90</w:t>
      </w:r>
      <w:r w:rsidRPr="00B25780">
        <w:rPr>
          <w:rFonts w:ascii="Times New Roman" w:hAnsi="Times New Roman" w:cs="Times New Roman"/>
          <w:sz w:val="22"/>
        </w:rPr>
        <w:t>%</w:t>
      </w:r>
      <w:r w:rsidRPr="00D97AC3">
        <w:rPr>
          <w:rFonts w:ascii="Times New Roman" w:hAnsi="Times New Roman" w:cs="Times New Roman"/>
          <w:sz w:val="22"/>
        </w:rPr>
        <w:t>. This drastic decline was the result of several factors. One was the loss of their traditional territory which had sustained Indigenous peoples</w:t>
      </w:r>
      <w:r w:rsidRPr="00B25780">
        <w:rPr>
          <w:rFonts w:ascii="Times New Roman" w:hAnsi="Times New Roman" w:cs="Times New Roman"/>
          <w:sz w:val="22"/>
        </w:rPr>
        <w:t xml:space="preserve"> for</w:t>
      </w:r>
      <w:r w:rsidRPr="00D97AC3">
        <w:rPr>
          <w:rFonts w:ascii="Times New Roman" w:hAnsi="Times New Roman" w:cs="Times New Roman"/>
          <w:sz w:val="22"/>
        </w:rPr>
        <w:t xml:space="preserve"> thousands of years. Another was exposure to new diseases brought by the colonists. Yet another factor was violent conflict with the colonists. </w:t>
      </w:r>
    </w:p>
    <w:p w14:paraId="4C3718CA" w14:textId="77777777" w:rsidR="00272429" w:rsidRPr="00D97AC3" w:rsidRDefault="00272429" w:rsidP="00272429">
      <w:pPr>
        <w:rPr>
          <w:rFonts w:ascii="Times New Roman" w:hAnsi="Times New Roman" w:cs="Times New Roman"/>
          <w:b/>
          <w:bCs/>
          <w:sz w:val="22"/>
        </w:rPr>
      </w:pPr>
      <w:r w:rsidRPr="00D97AC3">
        <w:rPr>
          <w:rFonts w:ascii="Times New Roman" w:hAnsi="Times New Roman" w:cs="Times New Roman"/>
          <w:b/>
          <w:bCs/>
          <w:sz w:val="22"/>
        </w:rPr>
        <w:t>Cultural Disruption</w:t>
      </w:r>
    </w:p>
    <w:p w14:paraId="78BEEB4D" w14:textId="77777777" w:rsidR="00272429" w:rsidRPr="00D97AC3" w:rsidRDefault="00272429" w:rsidP="00272429">
      <w:pPr>
        <w:rPr>
          <w:rFonts w:ascii="Times New Roman" w:hAnsi="Times New Roman" w:cs="Times New Roman"/>
          <w:sz w:val="22"/>
        </w:rPr>
      </w:pPr>
      <w:r w:rsidRPr="00D97AC3">
        <w:rPr>
          <w:rFonts w:ascii="Times New Roman" w:hAnsi="Times New Roman" w:cs="Times New Roman"/>
          <w:sz w:val="22"/>
        </w:rPr>
        <w:t>Before Europea</w:t>
      </w:r>
      <w:r w:rsidRPr="00B25780">
        <w:rPr>
          <w:rFonts w:ascii="Times New Roman" w:hAnsi="Times New Roman" w:cs="Times New Roman"/>
          <w:sz w:val="22"/>
        </w:rPr>
        <w:t>n arrival</w:t>
      </w:r>
      <w:r w:rsidRPr="00D97AC3">
        <w:rPr>
          <w:rFonts w:ascii="Times New Roman" w:hAnsi="Times New Roman" w:cs="Times New Roman"/>
          <w:sz w:val="22"/>
        </w:rPr>
        <w:t xml:space="preserve">, Aboriginal and Torres Strait Islander peoples lived as hunter-gatherers. Each clan had </w:t>
      </w:r>
      <w:r w:rsidRPr="00B25780">
        <w:rPr>
          <w:rFonts w:ascii="Times New Roman" w:hAnsi="Times New Roman" w:cs="Times New Roman"/>
          <w:sz w:val="22"/>
        </w:rPr>
        <w:t>their</w:t>
      </w:r>
      <w:r w:rsidRPr="00D97AC3">
        <w:rPr>
          <w:rFonts w:ascii="Times New Roman" w:hAnsi="Times New Roman" w:cs="Times New Roman"/>
          <w:sz w:val="22"/>
        </w:rPr>
        <w:t xml:space="preserve"> own </w:t>
      </w:r>
      <w:r w:rsidRPr="00B25780">
        <w:rPr>
          <w:rFonts w:ascii="Times New Roman" w:hAnsi="Times New Roman" w:cs="Times New Roman"/>
          <w:sz w:val="22"/>
        </w:rPr>
        <w:t>territory</w:t>
      </w:r>
      <w:r w:rsidRPr="00D97AC3">
        <w:rPr>
          <w:rFonts w:ascii="Times New Roman" w:hAnsi="Times New Roman" w:cs="Times New Roman"/>
          <w:sz w:val="22"/>
        </w:rPr>
        <w:t>, which it relied on for food, shelter, medicine, and tools. Indigenous people did not think of land in terms of monetary value, and they did not believe that they “owned” the land. Instead, they felt a deep spiritual connection to their</w:t>
      </w:r>
      <w:r w:rsidRPr="00B25780">
        <w:rPr>
          <w:rFonts w:ascii="Times New Roman" w:hAnsi="Times New Roman" w:cs="Times New Roman"/>
          <w:sz w:val="22"/>
        </w:rPr>
        <w:t xml:space="preserve"> territory, or</w:t>
      </w:r>
      <w:r w:rsidRPr="00D97AC3">
        <w:rPr>
          <w:rFonts w:ascii="Times New Roman" w:hAnsi="Times New Roman" w:cs="Times New Roman"/>
          <w:sz w:val="22"/>
        </w:rPr>
        <w:t xml:space="preserve"> Country. </w:t>
      </w:r>
    </w:p>
    <w:p w14:paraId="4F55D4B8" w14:textId="77777777" w:rsidR="00272429" w:rsidRPr="00D97AC3" w:rsidRDefault="00272429" w:rsidP="00272429">
      <w:pPr>
        <w:rPr>
          <w:rFonts w:ascii="Times New Roman" w:hAnsi="Times New Roman" w:cs="Times New Roman"/>
          <w:sz w:val="22"/>
        </w:rPr>
      </w:pPr>
      <w:r w:rsidRPr="00D97AC3">
        <w:rPr>
          <w:rFonts w:ascii="Times New Roman" w:hAnsi="Times New Roman" w:cs="Times New Roman"/>
          <w:sz w:val="22"/>
        </w:rPr>
        <w:t>With no signs of land ownership, such as fences, crops, stock animals, or buildings, the Europeans who came to Australia believed the land was free to claim. They called it </w:t>
      </w:r>
      <w:r w:rsidRPr="00D97AC3">
        <w:rPr>
          <w:rFonts w:ascii="Times New Roman" w:hAnsi="Times New Roman" w:cs="Times New Roman"/>
          <w:i/>
          <w:iCs/>
          <w:sz w:val="22"/>
        </w:rPr>
        <w:t>terra nullius</w:t>
      </w:r>
      <w:r w:rsidRPr="00D97AC3">
        <w:rPr>
          <w:rFonts w:ascii="Times New Roman" w:hAnsi="Times New Roman" w:cs="Times New Roman"/>
          <w:sz w:val="22"/>
        </w:rPr>
        <w:t>, or land belonging to no one. The settlers cleared land for farming and to build towns along the east coast. They fenced off the land, which restricted access to clean water, hunting grounds, and food supplies for Indigenous communities. As British settlement expanded to other parts of Australia, more Indigenous groups were forced off their traditional lands. Indigenous peoples struggled to survive, and a large number died from starvation and malnourishment.</w:t>
      </w:r>
    </w:p>
    <w:p w14:paraId="4DEAEE0E" w14:textId="5164AE0E" w:rsidR="00272429" w:rsidRPr="00B25780" w:rsidRDefault="00272429" w:rsidP="00272429">
      <w:pPr>
        <w:rPr>
          <w:rFonts w:ascii="Times New Roman" w:hAnsi="Times New Roman" w:cs="Times New Roman"/>
          <w:sz w:val="22"/>
        </w:rPr>
      </w:pPr>
      <w:r w:rsidRPr="00D97AC3">
        <w:rPr>
          <w:rFonts w:ascii="Times New Roman" w:hAnsi="Times New Roman" w:cs="Times New Roman"/>
          <w:sz w:val="22"/>
        </w:rPr>
        <w:lastRenderedPageBreak/>
        <w:t>The survivors suffered other kinds of trauma. Indigenous peoples saw many of their sacred sites destroyed by the colonists. Indigenous men and women were taken from their homes and forced to work for the colonists. The Australian cattle industry, for example, was built on the labo</w:t>
      </w:r>
      <w:r w:rsidRPr="00B25780">
        <w:rPr>
          <w:rFonts w:ascii="Times New Roman" w:hAnsi="Times New Roman" w:cs="Times New Roman"/>
          <w:sz w:val="22"/>
        </w:rPr>
        <w:t>u</w:t>
      </w:r>
      <w:r w:rsidRPr="00D97AC3">
        <w:rPr>
          <w:rFonts w:ascii="Times New Roman" w:hAnsi="Times New Roman" w:cs="Times New Roman"/>
          <w:sz w:val="22"/>
        </w:rPr>
        <w:t xml:space="preserve">r of Aboriginal men. Aboriginal women were forced into domestic work in settlers’ homes. Both Aboriginal and Torres Strait Islander peoples were used to do the risky work of diving in the pearling industry. Pregnant Indigenous women were preferred as divers because it was believed that they had a larger lung capacity. Another abuse faced by Indigenous women was </w:t>
      </w:r>
      <w:r w:rsidRPr="00B25780">
        <w:rPr>
          <w:rFonts w:ascii="Times New Roman" w:hAnsi="Times New Roman" w:cs="Times New Roman"/>
          <w:sz w:val="22"/>
        </w:rPr>
        <w:t>sexual assault</w:t>
      </w:r>
      <w:r w:rsidRPr="00D97AC3">
        <w:rPr>
          <w:rFonts w:ascii="Times New Roman" w:hAnsi="Times New Roman" w:cs="Times New Roman"/>
          <w:sz w:val="22"/>
        </w:rPr>
        <w:t>.</w:t>
      </w:r>
    </w:p>
    <w:p w14:paraId="48BB6A20" w14:textId="77777777" w:rsidR="00272429" w:rsidRPr="00D97AC3" w:rsidRDefault="00272429" w:rsidP="00272429">
      <w:pPr>
        <w:rPr>
          <w:rFonts w:ascii="Times New Roman" w:hAnsi="Times New Roman" w:cs="Times New Roman"/>
          <w:b/>
          <w:bCs/>
          <w:sz w:val="22"/>
        </w:rPr>
      </w:pPr>
      <w:r w:rsidRPr="00D97AC3">
        <w:rPr>
          <w:rFonts w:ascii="Times New Roman" w:hAnsi="Times New Roman" w:cs="Times New Roman"/>
          <w:b/>
          <w:bCs/>
          <w:sz w:val="22"/>
        </w:rPr>
        <w:t>Disease</w:t>
      </w:r>
    </w:p>
    <w:p w14:paraId="58E31BB3" w14:textId="77777777" w:rsidR="00272429" w:rsidRPr="00D97AC3" w:rsidRDefault="00272429" w:rsidP="00272429">
      <w:pPr>
        <w:rPr>
          <w:rFonts w:ascii="Times New Roman" w:hAnsi="Times New Roman" w:cs="Times New Roman"/>
          <w:sz w:val="22"/>
        </w:rPr>
      </w:pPr>
      <w:r w:rsidRPr="00D97AC3">
        <w:rPr>
          <w:rFonts w:ascii="Times New Roman" w:hAnsi="Times New Roman" w:cs="Times New Roman"/>
          <w:sz w:val="22"/>
        </w:rPr>
        <w:t xml:space="preserve">The introduction of new diseases by the colonists had a devastating impact on Indigenous communities. The Europeans brought many diseases with them, including bronchitis, measles, scarlet fever, chicken pox, smallpox, and whooping cough. Whereas the Europeans had built up a resistance to these diseases, the Indigenous population had never been exposed to them. </w:t>
      </w:r>
    </w:p>
    <w:p w14:paraId="77EB7378" w14:textId="1E762255" w:rsidR="00272429" w:rsidRPr="00B25780" w:rsidRDefault="00272429" w:rsidP="00272429">
      <w:pPr>
        <w:rPr>
          <w:rFonts w:ascii="Times New Roman" w:hAnsi="Times New Roman" w:cs="Times New Roman"/>
          <w:sz w:val="22"/>
        </w:rPr>
      </w:pPr>
      <w:r w:rsidRPr="00D97AC3">
        <w:rPr>
          <w:rFonts w:ascii="Times New Roman" w:hAnsi="Times New Roman" w:cs="Times New Roman"/>
          <w:sz w:val="22"/>
        </w:rPr>
        <w:t>Within weeks of exposure, the diseases spread rapidly among Indigenous communities. It was reported that smallpox killed half of the Aboriginal people in the Sydney area within just over a year of</w:t>
      </w:r>
      <w:r w:rsidRPr="00B25780">
        <w:rPr>
          <w:rFonts w:ascii="Times New Roman" w:hAnsi="Times New Roman" w:cs="Times New Roman"/>
          <w:sz w:val="22"/>
        </w:rPr>
        <w:t xml:space="preserve"> the arrival of the</w:t>
      </w:r>
      <w:r w:rsidRPr="00D97AC3">
        <w:rPr>
          <w:rFonts w:ascii="Times New Roman" w:hAnsi="Times New Roman" w:cs="Times New Roman"/>
          <w:sz w:val="22"/>
        </w:rPr>
        <w:t xml:space="preserve"> British. In the Port Phillip (Melbourne) area, diseases caused up to 60 percent of Aboriginal deaths.</w:t>
      </w:r>
    </w:p>
    <w:p w14:paraId="1EB9C918" w14:textId="77777777" w:rsidR="00272429" w:rsidRPr="00D97AC3" w:rsidRDefault="00272429" w:rsidP="00272429">
      <w:pPr>
        <w:rPr>
          <w:rFonts w:ascii="Times New Roman" w:hAnsi="Times New Roman" w:cs="Times New Roman"/>
          <w:b/>
          <w:bCs/>
          <w:sz w:val="22"/>
        </w:rPr>
      </w:pPr>
      <w:r w:rsidRPr="00D97AC3">
        <w:rPr>
          <w:rFonts w:ascii="Times New Roman" w:hAnsi="Times New Roman" w:cs="Times New Roman"/>
          <w:b/>
          <w:bCs/>
          <w:sz w:val="22"/>
        </w:rPr>
        <w:t>Conflict</w:t>
      </w:r>
    </w:p>
    <w:p w14:paraId="586452FE" w14:textId="77777777" w:rsidR="00272429" w:rsidRPr="00D97AC3" w:rsidRDefault="00272429" w:rsidP="00272429">
      <w:pPr>
        <w:rPr>
          <w:rFonts w:ascii="Times New Roman" w:hAnsi="Times New Roman" w:cs="Times New Roman"/>
          <w:sz w:val="22"/>
        </w:rPr>
      </w:pPr>
      <w:r w:rsidRPr="00D97AC3">
        <w:rPr>
          <w:rFonts w:ascii="Times New Roman" w:hAnsi="Times New Roman" w:cs="Times New Roman"/>
          <w:sz w:val="22"/>
        </w:rPr>
        <w:t>The first Europeans to land in Australia were Dutch sailors in the 1600s. In 1606 Dutch captain Willem Janszoon (also spelled Jansz) and his ship </w:t>
      </w:r>
      <w:proofErr w:type="spellStart"/>
      <w:r w:rsidRPr="00D97AC3">
        <w:rPr>
          <w:rFonts w:ascii="Times New Roman" w:hAnsi="Times New Roman" w:cs="Times New Roman"/>
          <w:i/>
          <w:iCs/>
          <w:sz w:val="22"/>
        </w:rPr>
        <w:t>Duyfken</w:t>
      </w:r>
      <w:proofErr w:type="spellEnd"/>
      <w:r w:rsidRPr="00D97AC3">
        <w:rPr>
          <w:rFonts w:ascii="Times New Roman" w:hAnsi="Times New Roman" w:cs="Times New Roman"/>
          <w:sz w:val="22"/>
        </w:rPr>
        <w:t xml:space="preserve"> sailed along the western coast of Cape York Peninsula in search of new trading areas. Captain Janszoon and his crew landed at a place they named Cape </w:t>
      </w:r>
      <w:proofErr w:type="spellStart"/>
      <w:r w:rsidRPr="00D97AC3">
        <w:rPr>
          <w:rFonts w:ascii="Times New Roman" w:hAnsi="Times New Roman" w:cs="Times New Roman"/>
          <w:sz w:val="22"/>
        </w:rPr>
        <w:t>Keerweer</w:t>
      </w:r>
      <w:proofErr w:type="spellEnd"/>
      <w:r w:rsidRPr="00D97AC3">
        <w:rPr>
          <w:rFonts w:ascii="Times New Roman" w:hAnsi="Times New Roman" w:cs="Times New Roman"/>
          <w:sz w:val="22"/>
        </w:rPr>
        <w:t>, which means “turn around” in Dutch. Some of his crew came across the Wik, the local Aboriginal people. According to Wik oral history, a fight broke out between the Dutch sailors and the Wik, which resulted in deaths on both sides. This was the first known conflict between Europeans and Aboriginal peoples. As a result of the conflict and because there were few tradable items, the Europeans “turned around” and sailed back to Indonesia.</w:t>
      </w:r>
    </w:p>
    <w:p w14:paraId="1BD0B9BC" w14:textId="77777777" w:rsidR="00272429" w:rsidRPr="00D97AC3" w:rsidRDefault="00272429" w:rsidP="00272429">
      <w:pPr>
        <w:rPr>
          <w:rFonts w:ascii="Times New Roman" w:hAnsi="Times New Roman" w:cs="Times New Roman"/>
          <w:sz w:val="22"/>
        </w:rPr>
      </w:pPr>
      <w:r w:rsidRPr="00D97AC3">
        <w:rPr>
          <w:rFonts w:ascii="Times New Roman" w:hAnsi="Times New Roman" w:cs="Times New Roman"/>
          <w:sz w:val="22"/>
        </w:rPr>
        <w:t xml:space="preserve">The next Europeans to </w:t>
      </w:r>
      <w:proofErr w:type="gramStart"/>
      <w:r w:rsidRPr="00D97AC3">
        <w:rPr>
          <w:rFonts w:ascii="Times New Roman" w:hAnsi="Times New Roman" w:cs="Times New Roman"/>
          <w:sz w:val="22"/>
        </w:rPr>
        <w:t>make contact with</w:t>
      </w:r>
      <w:proofErr w:type="gramEnd"/>
      <w:r w:rsidRPr="00D97AC3">
        <w:rPr>
          <w:rFonts w:ascii="Times New Roman" w:hAnsi="Times New Roman" w:cs="Times New Roman"/>
          <w:sz w:val="22"/>
        </w:rPr>
        <w:t xml:space="preserve"> Aboriginal peoples were the British settlers who arrived in the 1700s. Some of the Eora—the Aboriginal peoples of the Sydney area—welcomed the newcomers. The leader of the British colony, Arthur Phillip, directed the colonists to treat the Aboriginal peoples respectfully. Before coming to Australia, Phillip had been instructed by the British king to open communication with the local people.</w:t>
      </w:r>
    </w:p>
    <w:p w14:paraId="31722482" w14:textId="77777777" w:rsidR="00272429" w:rsidRPr="00D97AC3" w:rsidRDefault="00272429" w:rsidP="00272429">
      <w:pPr>
        <w:rPr>
          <w:rFonts w:ascii="Times New Roman" w:hAnsi="Times New Roman" w:cs="Times New Roman"/>
          <w:sz w:val="22"/>
        </w:rPr>
      </w:pPr>
      <w:r w:rsidRPr="00D97AC3">
        <w:rPr>
          <w:rFonts w:ascii="Times New Roman" w:hAnsi="Times New Roman" w:cs="Times New Roman"/>
          <w:sz w:val="22"/>
        </w:rPr>
        <w:lastRenderedPageBreak/>
        <w:t>The governor saw benefits in interacting with the Aboriginal peoples. He wanted the colonists to learn the local language and to teach English to some of the local people. With the ability to communicate, he hoped the colonists could persuade the Aboriginal people to accept colonization peacefully. In addition, he wanted to learn about the area’s natural resources. Knowledge of local plants could help the colony deal with food shortages.</w:t>
      </w:r>
    </w:p>
    <w:p w14:paraId="02EF6672" w14:textId="77777777" w:rsidR="00272429" w:rsidRPr="00D97AC3" w:rsidRDefault="00272429" w:rsidP="00272429">
      <w:pPr>
        <w:rPr>
          <w:rFonts w:ascii="Times New Roman" w:hAnsi="Times New Roman" w:cs="Times New Roman"/>
          <w:sz w:val="22"/>
        </w:rPr>
      </w:pPr>
      <w:r w:rsidRPr="00D97AC3">
        <w:rPr>
          <w:rFonts w:ascii="Times New Roman" w:hAnsi="Times New Roman" w:cs="Times New Roman"/>
          <w:sz w:val="22"/>
        </w:rPr>
        <w:t xml:space="preserve">As the colony expanded, </w:t>
      </w:r>
      <w:r w:rsidRPr="00B25780">
        <w:rPr>
          <w:rFonts w:ascii="Times New Roman" w:hAnsi="Times New Roman" w:cs="Times New Roman"/>
          <w:sz w:val="22"/>
        </w:rPr>
        <w:t>cordial</w:t>
      </w:r>
      <w:r w:rsidRPr="00D97AC3">
        <w:rPr>
          <w:rFonts w:ascii="Times New Roman" w:hAnsi="Times New Roman" w:cs="Times New Roman"/>
          <w:sz w:val="22"/>
        </w:rPr>
        <w:t xml:space="preserve"> relations between settlers and the Aboriginal peoples gave way to conflict. One of the earliest incidents of Aboriginal resistance happened in May 1788, when two Europeans were killed near Rushcutters Bay (now a suburb of Sydney).</w:t>
      </w:r>
    </w:p>
    <w:p w14:paraId="3539E760" w14:textId="77777777" w:rsidR="00272429" w:rsidRPr="00D97AC3" w:rsidRDefault="00272429" w:rsidP="00272429">
      <w:pPr>
        <w:rPr>
          <w:rFonts w:ascii="Times New Roman" w:hAnsi="Times New Roman" w:cs="Times New Roman"/>
          <w:sz w:val="22"/>
        </w:rPr>
      </w:pPr>
      <w:r w:rsidRPr="00D97AC3">
        <w:rPr>
          <w:rFonts w:ascii="Times New Roman" w:hAnsi="Times New Roman" w:cs="Times New Roman"/>
          <w:sz w:val="22"/>
        </w:rPr>
        <w:t>The first British settlement on the island of Tasmania, then called Van Diemen’s Land, was established in 1803. The next year European soldiers fired on an Aboriginal hunting party, beginning a long period of conflict known as the Black War. As the settlers occupied hunting areas to raise sheep and killed great numbers of kangaroos, the Aboriginal Tasmanians struggled to find food. The settlers also harassed Tasmanian women and children, taking them against their will. The Tasmanians</w:t>
      </w:r>
      <w:r w:rsidRPr="00B25780">
        <w:rPr>
          <w:rFonts w:ascii="Times New Roman" w:hAnsi="Times New Roman" w:cs="Times New Roman"/>
          <w:sz w:val="22"/>
        </w:rPr>
        <w:t>, unable to</w:t>
      </w:r>
      <w:r w:rsidRPr="00D97AC3">
        <w:rPr>
          <w:rFonts w:ascii="Times New Roman" w:hAnsi="Times New Roman" w:cs="Times New Roman"/>
          <w:sz w:val="22"/>
        </w:rPr>
        <w:t xml:space="preserve"> match the firearms of the Europeans</w:t>
      </w:r>
      <w:r w:rsidRPr="00B25780">
        <w:rPr>
          <w:rFonts w:ascii="Times New Roman" w:hAnsi="Times New Roman" w:cs="Times New Roman"/>
          <w:sz w:val="22"/>
        </w:rPr>
        <w:t>,</w:t>
      </w:r>
      <w:r w:rsidRPr="00D97AC3">
        <w:rPr>
          <w:rFonts w:ascii="Times New Roman" w:hAnsi="Times New Roman" w:cs="Times New Roman"/>
          <w:sz w:val="22"/>
        </w:rPr>
        <w:t xml:space="preserve"> resorted to attacks on small groups of settlers. During the 1820s the fights became especially intense. The Black War continued until 1830. It claimed the lives of more than 200 Europeans and 600 Aboriginal people—virtually the entire Aboriginal population of the island.</w:t>
      </w:r>
    </w:p>
    <w:p w14:paraId="096E1E0E" w14:textId="77777777" w:rsidR="00272429" w:rsidRPr="00D97AC3" w:rsidRDefault="00272429" w:rsidP="00272429">
      <w:pPr>
        <w:rPr>
          <w:rFonts w:ascii="Times New Roman" w:hAnsi="Times New Roman" w:cs="Times New Roman"/>
          <w:sz w:val="22"/>
        </w:rPr>
      </w:pPr>
      <w:r w:rsidRPr="00D97AC3">
        <w:rPr>
          <w:rFonts w:ascii="Times New Roman" w:hAnsi="Times New Roman" w:cs="Times New Roman"/>
          <w:sz w:val="22"/>
        </w:rPr>
        <w:t xml:space="preserve">Some of the incidents between European settlers and Indigenous peoples are more properly called massacres instead of battles. One such event occurred at Myall Creek in New South Wales. On June 10, 1838, a group of heavily armed European settlers rounded up and shot 28 Aboriginal men, women, and children near Myall Creek Station. It is believed that the settlers were seeking revenge for the theft of cattle. Hundreds of attacks </w:t>
      </w:r>
      <w:proofErr w:type="gramStart"/>
      <w:r w:rsidRPr="00D97AC3">
        <w:rPr>
          <w:rFonts w:ascii="Times New Roman" w:hAnsi="Times New Roman" w:cs="Times New Roman"/>
          <w:sz w:val="22"/>
        </w:rPr>
        <w:t>similar to</w:t>
      </w:r>
      <w:proofErr w:type="gramEnd"/>
      <w:r w:rsidRPr="00D97AC3">
        <w:rPr>
          <w:rFonts w:ascii="Times New Roman" w:hAnsi="Times New Roman" w:cs="Times New Roman"/>
          <w:sz w:val="22"/>
        </w:rPr>
        <w:t xml:space="preserve"> this one occurred during Australia’s settlement. The Myall Creek Massacre is particularly significant, however, because it was the first time that Europeans were tried and hanged for killing Indigenous people. Still, the threat of punishment did not stop the massacres, which continued well into the 20</w:t>
      </w:r>
      <w:r w:rsidRPr="00D97AC3">
        <w:rPr>
          <w:rFonts w:ascii="Times New Roman" w:hAnsi="Times New Roman" w:cs="Times New Roman"/>
          <w:sz w:val="22"/>
          <w:vertAlign w:val="superscript"/>
        </w:rPr>
        <w:t>th</w:t>
      </w:r>
      <w:r w:rsidRPr="00B25780">
        <w:rPr>
          <w:rFonts w:ascii="Times New Roman" w:hAnsi="Times New Roman" w:cs="Times New Roman"/>
          <w:sz w:val="22"/>
        </w:rPr>
        <w:t xml:space="preserve"> </w:t>
      </w:r>
      <w:r w:rsidRPr="00D97AC3">
        <w:rPr>
          <w:rFonts w:ascii="Times New Roman" w:hAnsi="Times New Roman" w:cs="Times New Roman"/>
          <w:sz w:val="22"/>
        </w:rPr>
        <w:t>century. In later incidents, settlers took greater care to destroy evidence of the killings.</w:t>
      </w:r>
    </w:p>
    <w:p w14:paraId="6083B0D6" w14:textId="77777777" w:rsidR="00272429" w:rsidRPr="00D97AC3" w:rsidRDefault="00272429" w:rsidP="00272429">
      <w:pPr>
        <w:rPr>
          <w:rFonts w:ascii="Times New Roman" w:hAnsi="Times New Roman" w:cs="Times New Roman"/>
          <w:sz w:val="22"/>
        </w:rPr>
      </w:pPr>
      <w:r w:rsidRPr="00D97AC3">
        <w:rPr>
          <w:rFonts w:ascii="Times New Roman" w:hAnsi="Times New Roman" w:cs="Times New Roman"/>
          <w:sz w:val="22"/>
        </w:rPr>
        <w:t>More than a century of frontier violence took the lives of an estimated 2,000 European settlers</w:t>
      </w:r>
      <w:r w:rsidRPr="00B25780">
        <w:rPr>
          <w:rFonts w:ascii="Times New Roman" w:hAnsi="Times New Roman" w:cs="Times New Roman"/>
          <w:sz w:val="22"/>
        </w:rPr>
        <w:t>.</w:t>
      </w:r>
      <w:r w:rsidRPr="00D97AC3">
        <w:rPr>
          <w:rFonts w:ascii="Times New Roman" w:hAnsi="Times New Roman" w:cs="Times New Roman"/>
          <w:sz w:val="22"/>
        </w:rPr>
        <w:t xml:space="preserve"> </w:t>
      </w:r>
      <w:r w:rsidRPr="00B25780">
        <w:rPr>
          <w:rFonts w:ascii="Times New Roman" w:hAnsi="Times New Roman" w:cs="Times New Roman"/>
          <w:sz w:val="22"/>
        </w:rPr>
        <w:t>However, b</w:t>
      </w:r>
      <w:r w:rsidRPr="00D97AC3">
        <w:rPr>
          <w:rFonts w:ascii="Times New Roman" w:hAnsi="Times New Roman" w:cs="Times New Roman"/>
          <w:sz w:val="22"/>
        </w:rPr>
        <w:t>etween the 1790s and the 1930s, battles and massacres killed an estimated 20,000 Aboriginal and Torres Strait Islander people</w:t>
      </w:r>
      <w:r w:rsidRPr="00B25780">
        <w:rPr>
          <w:rFonts w:ascii="Times New Roman" w:hAnsi="Times New Roman" w:cs="Times New Roman"/>
          <w:sz w:val="22"/>
        </w:rPr>
        <w:t>.</w:t>
      </w:r>
    </w:p>
    <w:p w14:paraId="3723F2F6" w14:textId="77777777" w:rsidR="00272429" w:rsidRPr="00B25780" w:rsidRDefault="00272429" w:rsidP="00272429">
      <w:pPr>
        <w:rPr>
          <w:rFonts w:ascii="Times New Roman" w:hAnsi="Times New Roman" w:cs="Times New Roman"/>
          <w:sz w:val="22"/>
        </w:rPr>
      </w:pPr>
    </w:p>
    <w:p w14:paraId="792C8C73" w14:textId="77777777" w:rsidR="00272429" w:rsidRPr="00474C14" w:rsidRDefault="00272429" w:rsidP="00272429">
      <w:pPr>
        <w:rPr>
          <w:rFonts w:ascii="Times New Roman" w:hAnsi="Times New Roman" w:cs="Times New Roman"/>
          <w:b/>
          <w:bCs/>
          <w:sz w:val="22"/>
        </w:rPr>
      </w:pPr>
      <w:r w:rsidRPr="00474C14">
        <w:rPr>
          <w:rFonts w:ascii="Times New Roman" w:hAnsi="Times New Roman" w:cs="Times New Roman"/>
          <w:b/>
          <w:bCs/>
          <w:sz w:val="22"/>
        </w:rPr>
        <w:lastRenderedPageBreak/>
        <w:t>Australia in the 1800s</w:t>
      </w:r>
    </w:p>
    <w:p w14:paraId="3D1503C0" w14:textId="77777777" w:rsidR="00272429" w:rsidRPr="00474C14" w:rsidRDefault="00272429" w:rsidP="00272429">
      <w:pPr>
        <w:rPr>
          <w:rFonts w:ascii="Times New Roman" w:hAnsi="Times New Roman" w:cs="Times New Roman"/>
          <w:sz w:val="22"/>
        </w:rPr>
      </w:pPr>
      <w:r w:rsidRPr="00474C14">
        <w:rPr>
          <w:rFonts w:ascii="Times New Roman" w:hAnsi="Times New Roman" w:cs="Times New Roman"/>
          <w:sz w:val="22"/>
        </w:rPr>
        <w:t>By 1833, importation of convicts peaked, with more than 162,000 prisoners taken to Australia, primarily from Britain and Ireland, as a punishment for law-breaking. Convicts were forced into hard labour and made to build colonies, although many remained in the country when they had completed their sentences.</w:t>
      </w:r>
    </w:p>
    <w:p w14:paraId="6A3DACD9" w14:textId="77777777" w:rsidR="00272429" w:rsidRPr="00474C14" w:rsidRDefault="00272429" w:rsidP="00272429">
      <w:pPr>
        <w:rPr>
          <w:rFonts w:ascii="Times New Roman" w:hAnsi="Times New Roman" w:cs="Times New Roman"/>
          <w:sz w:val="22"/>
        </w:rPr>
      </w:pPr>
      <w:r w:rsidRPr="00474C14">
        <w:rPr>
          <w:rFonts w:ascii="Times New Roman" w:hAnsi="Times New Roman" w:cs="Times New Roman"/>
          <w:sz w:val="22"/>
        </w:rPr>
        <w:t>In 1838, the Myall Creek massacre resulted in the public hangings of seven British men for the murder of Aboriginal people. Although this was far from the last killing of Aboriginal and Torres Strait Islander people, it was the first that resulted in direct punishment for the perpetrators.</w:t>
      </w:r>
    </w:p>
    <w:p w14:paraId="5B1CE157" w14:textId="77777777" w:rsidR="00272429" w:rsidRPr="00474C14" w:rsidRDefault="00272429" w:rsidP="00272429">
      <w:pPr>
        <w:rPr>
          <w:rFonts w:ascii="Times New Roman" w:hAnsi="Times New Roman" w:cs="Times New Roman"/>
          <w:sz w:val="22"/>
        </w:rPr>
      </w:pPr>
      <w:r>
        <w:rPr>
          <w:rFonts w:ascii="Times New Roman" w:hAnsi="Times New Roman" w:cs="Times New Roman"/>
          <w:sz w:val="22"/>
        </w:rPr>
        <w:t xml:space="preserve">In </w:t>
      </w:r>
      <w:r w:rsidRPr="00474C14">
        <w:rPr>
          <w:rFonts w:ascii="Times New Roman" w:hAnsi="Times New Roman" w:cs="Times New Roman"/>
          <w:sz w:val="22"/>
        </w:rPr>
        <w:t>1851</w:t>
      </w:r>
      <w:r>
        <w:rPr>
          <w:rFonts w:ascii="Times New Roman" w:hAnsi="Times New Roman" w:cs="Times New Roman"/>
          <w:sz w:val="22"/>
        </w:rPr>
        <w:t>, t</w:t>
      </w:r>
      <w:r w:rsidRPr="00474C14">
        <w:rPr>
          <w:rFonts w:ascii="Times New Roman" w:hAnsi="Times New Roman" w:cs="Times New Roman"/>
          <w:sz w:val="22"/>
        </w:rPr>
        <w:t>he discovery of gold prompted the gold rush, with people pouring into the colonies from ships around the world in search of their fortunes, plundering New South Wales and Victoria.</w:t>
      </w:r>
    </w:p>
    <w:p w14:paraId="7DFD9EA5" w14:textId="77777777" w:rsidR="00272429" w:rsidRPr="00474C14" w:rsidRDefault="00272429" w:rsidP="00272429">
      <w:pPr>
        <w:rPr>
          <w:rFonts w:ascii="Times New Roman" w:hAnsi="Times New Roman" w:cs="Times New Roman"/>
          <w:sz w:val="22"/>
        </w:rPr>
      </w:pPr>
      <w:r>
        <w:rPr>
          <w:rFonts w:ascii="Times New Roman" w:hAnsi="Times New Roman" w:cs="Times New Roman"/>
          <w:sz w:val="22"/>
        </w:rPr>
        <w:t xml:space="preserve">In </w:t>
      </w:r>
      <w:r w:rsidRPr="00474C14">
        <w:rPr>
          <w:rFonts w:ascii="Times New Roman" w:hAnsi="Times New Roman" w:cs="Times New Roman"/>
          <w:sz w:val="22"/>
        </w:rPr>
        <w:t>1854</w:t>
      </w:r>
      <w:r>
        <w:rPr>
          <w:rFonts w:ascii="Times New Roman" w:hAnsi="Times New Roman" w:cs="Times New Roman"/>
          <w:sz w:val="22"/>
        </w:rPr>
        <w:t>, m</w:t>
      </w:r>
      <w:r w:rsidRPr="00474C14">
        <w:rPr>
          <w:rFonts w:ascii="Times New Roman" w:hAnsi="Times New Roman" w:cs="Times New Roman"/>
          <w:sz w:val="22"/>
        </w:rPr>
        <w:t>iners in Ballarat rebelled against the colonial government’s administration, building a stockade. Government troops attacked, killing twenty-two diggers and six soldiers.</w:t>
      </w:r>
    </w:p>
    <w:p w14:paraId="05BC0A32" w14:textId="77777777" w:rsidR="00272429" w:rsidRPr="00474C14" w:rsidRDefault="00272429" w:rsidP="00272429">
      <w:pPr>
        <w:rPr>
          <w:rFonts w:ascii="Times New Roman" w:hAnsi="Times New Roman" w:cs="Times New Roman"/>
          <w:sz w:val="22"/>
        </w:rPr>
      </w:pPr>
      <w:r>
        <w:rPr>
          <w:rFonts w:ascii="Times New Roman" w:hAnsi="Times New Roman" w:cs="Times New Roman"/>
          <w:sz w:val="22"/>
        </w:rPr>
        <w:t xml:space="preserve">In </w:t>
      </w:r>
      <w:r w:rsidRPr="00474C14">
        <w:rPr>
          <w:rFonts w:ascii="Times New Roman" w:hAnsi="Times New Roman" w:cs="Times New Roman"/>
          <w:sz w:val="22"/>
        </w:rPr>
        <w:t>1863</w:t>
      </w:r>
      <w:r>
        <w:rPr>
          <w:rFonts w:ascii="Times New Roman" w:hAnsi="Times New Roman" w:cs="Times New Roman"/>
          <w:sz w:val="22"/>
        </w:rPr>
        <w:t xml:space="preserve">, 67 </w:t>
      </w:r>
      <w:r w:rsidRPr="00474C14">
        <w:rPr>
          <w:rFonts w:ascii="Times New Roman" w:hAnsi="Times New Roman" w:cs="Times New Roman"/>
          <w:sz w:val="22"/>
        </w:rPr>
        <w:t>South Sea Islanders were transported to Queensland and forced to produce cotton and sugar, the first of more than 62,000 people</w:t>
      </w:r>
      <w:r>
        <w:rPr>
          <w:rFonts w:ascii="Times New Roman" w:hAnsi="Times New Roman" w:cs="Times New Roman"/>
          <w:sz w:val="22"/>
        </w:rPr>
        <w:t xml:space="preserve">, </w:t>
      </w:r>
      <w:r w:rsidRPr="00474C14">
        <w:rPr>
          <w:rFonts w:ascii="Times New Roman" w:hAnsi="Times New Roman" w:cs="Times New Roman"/>
          <w:sz w:val="22"/>
        </w:rPr>
        <w:t xml:space="preserve">many </w:t>
      </w:r>
      <w:r>
        <w:rPr>
          <w:rFonts w:ascii="Times New Roman" w:hAnsi="Times New Roman" w:cs="Times New Roman"/>
          <w:sz w:val="22"/>
        </w:rPr>
        <w:t xml:space="preserve">of whom </w:t>
      </w:r>
      <w:r w:rsidRPr="00474C14">
        <w:rPr>
          <w:rFonts w:ascii="Times New Roman" w:hAnsi="Times New Roman" w:cs="Times New Roman"/>
          <w:sz w:val="22"/>
        </w:rPr>
        <w:t xml:space="preserve">were kidnapped. </w:t>
      </w:r>
    </w:p>
    <w:p w14:paraId="19DFC302" w14:textId="77777777" w:rsidR="00272429" w:rsidRPr="00B25780" w:rsidRDefault="00272429" w:rsidP="00272429">
      <w:pPr>
        <w:rPr>
          <w:rFonts w:ascii="Times New Roman" w:hAnsi="Times New Roman" w:cs="Times New Roman"/>
          <w:sz w:val="22"/>
        </w:rPr>
      </w:pPr>
      <w:r w:rsidRPr="00B25780">
        <w:rPr>
          <w:rFonts w:ascii="Times New Roman" w:hAnsi="Times New Roman" w:cs="Times New Roman"/>
          <w:sz w:val="22"/>
        </w:rPr>
        <w:t xml:space="preserve">The British settlement was initially planned to be a self-sufficient penal colony based on agriculture. </w:t>
      </w:r>
      <w:proofErr w:type="spellStart"/>
      <w:r w:rsidRPr="00B25780">
        <w:rPr>
          <w:rFonts w:ascii="Times New Roman" w:hAnsi="Times New Roman" w:cs="Times New Roman"/>
          <w:sz w:val="22"/>
        </w:rPr>
        <w:t>Karskens</w:t>
      </w:r>
      <w:proofErr w:type="spellEnd"/>
      <w:r w:rsidRPr="00B25780">
        <w:rPr>
          <w:rFonts w:ascii="Times New Roman" w:hAnsi="Times New Roman" w:cs="Times New Roman"/>
          <w:sz w:val="22"/>
        </w:rPr>
        <w:t xml:space="preserve"> argues that conflict broke out between the settlers and the traditional owners of the land because of the settlers' assumptions about the superiority of British civilisation and their entitlement to land which they had "improved" through building and cultivation. </w:t>
      </w:r>
    </w:p>
    <w:p w14:paraId="3848E8F6" w14:textId="77777777" w:rsidR="00272429" w:rsidRPr="00B25780" w:rsidRDefault="00272429" w:rsidP="00272429">
      <w:pPr>
        <w:rPr>
          <w:rFonts w:ascii="Times New Roman" w:hAnsi="Times New Roman" w:cs="Times New Roman"/>
          <w:sz w:val="22"/>
        </w:rPr>
      </w:pPr>
      <w:r w:rsidRPr="00B25780">
        <w:rPr>
          <w:rFonts w:ascii="Times New Roman" w:hAnsi="Times New Roman" w:cs="Times New Roman"/>
          <w:sz w:val="22"/>
        </w:rPr>
        <w:t xml:space="preserve">Conflict also arose from cross-cultural misunderstandings and from reprisals for previous actions such as the kidnapping of Aboriginal men, women and children. Reprisal attacks and collective punishments were perpetrated by colonists and Aboriginal groups alike. Sustained Aboriginal attacks on settlers, the burning of crops and the mass killing of livestock were more obviously acts of resistance to the loss of traditional land and food resources. </w:t>
      </w:r>
    </w:p>
    <w:p w14:paraId="601DF8E9" w14:textId="77777777" w:rsidR="00272429" w:rsidRPr="00B25780" w:rsidRDefault="00272429" w:rsidP="00272429">
      <w:pPr>
        <w:rPr>
          <w:rFonts w:ascii="Times New Roman" w:hAnsi="Times New Roman" w:cs="Times New Roman"/>
          <w:sz w:val="22"/>
        </w:rPr>
      </w:pPr>
      <w:r w:rsidRPr="00B25780">
        <w:rPr>
          <w:rFonts w:ascii="Times New Roman" w:hAnsi="Times New Roman" w:cs="Times New Roman"/>
          <w:sz w:val="22"/>
        </w:rPr>
        <w:t xml:space="preserve">The spread of sheep and cattle grazing after 1850 brought further conflict with Aboriginal tribes more distant from the closely settled areas. Aboriginal casualty rates in conflicts increased as the colonists made greater use of mounted police, Native Police units, and newly developed revolvers and breech-loaded guns. Conflict was particularly intense in NSW in the 1840s and in Queensland from 1860 to 1880. In central Australia, it is estimated that 650 to 850 Aboriginal people, out of a population of 4,500, were killed by colonists from 1860 to 1895. The last recorded massacre of Aboriginal people </w:t>
      </w:r>
      <w:r w:rsidRPr="00B25780">
        <w:rPr>
          <w:rFonts w:ascii="Times New Roman" w:hAnsi="Times New Roman" w:cs="Times New Roman"/>
          <w:sz w:val="22"/>
        </w:rPr>
        <w:lastRenderedPageBreak/>
        <w:t xml:space="preserve">by settlers was at Coniston in the Northern Territory in 1928 where at least 31 Aboriginal people were killed. </w:t>
      </w:r>
    </w:p>
    <w:p w14:paraId="78E2F0C9" w14:textId="77777777" w:rsidR="00272429" w:rsidRPr="00474C14" w:rsidRDefault="00272429" w:rsidP="00272429">
      <w:pPr>
        <w:rPr>
          <w:rFonts w:ascii="Times New Roman" w:hAnsi="Times New Roman" w:cs="Times New Roman"/>
          <w:sz w:val="22"/>
        </w:rPr>
      </w:pPr>
      <w:r w:rsidRPr="00474C14">
        <w:rPr>
          <w:rFonts w:ascii="Times New Roman" w:hAnsi="Times New Roman" w:cs="Times New Roman"/>
          <w:sz w:val="22"/>
        </w:rPr>
        <w:t xml:space="preserve">The Coranderrk reserve was created as a controlled environment where Aboriginal people were subjected to restricted lives. </w:t>
      </w:r>
      <w:r w:rsidRPr="00B25780">
        <w:rPr>
          <w:rFonts w:ascii="Times New Roman" w:hAnsi="Times New Roman" w:cs="Times New Roman"/>
          <w:sz w:val="22"/>
        </w:rPr>
        <w:t>An</w:t>
      </w:r>
      <w:r w:rsidRPr="00474C14">
        <w:rPr>
          <w:rFonts w:ascii="Times New Roman" w:hAnsi="Times New Roman" w:cs="Times New Roman"/>
          <w:sz w:val="22"/>
        </w:rPr>
        <w:t xml:space="preserve"> 1863 rebellion is recorded as one of the first sustained resistances, where residents fought for rights to land and self-determination.</w:t>
      </w:r>
    </w:p>
    <w:p w14:paraId="65C94EAD" w14:textId="350FE927" w:rsidR="00272429" w:rsidRPr="00B25780" w:rsidRDefault="00272429" w:rsidP="00272429">
      <w:pPr>
        <w:rPr>
          <w:rFonts w:ascii="Times New Roman" w:hAnsi="Times New Roman" w:cs="Times New Roman"/>
          <w:sz w:val="22"/>
        </w:rPr>
      </w:pPr>
      <w:r w:rsidRPr="00474C14">
        <w:rPr>
          <w:rFonts w:ascii="Times New Roman" w:hAnsi="Times New Roman" w:cs="Times New Roman"/>
          <w:sz w:val="22"/>
        </w:rPr>
        <w:t>Convict transportation to Australia ended in 1868, followed by the White Australia policy in 1901, when the Immigration Restriction Act was made law, limiting immigration and allowing for ‘undesirable’ people to be deported.</w:t>
      </w:r>
    </w:p>
    <w:p w14:paraId="76DC30D7" w14:textId="77777777" w:rsidR="00272429" w:rsidRPr="00EE65E9" w:rsidRDefault="00272429" w:rsidP="00272429">
      <w:pPr>
        <w:rPr>
          <w:rFonts w:ascii="Times New Roman" w:hAnsi="Times New Roman" w:cs="Times New Roman"/>
          <w:b/>
          <w:bCs/>
          <w:sz w:val="22"/>
        </w:rPr>
      </w:pPr>
      <w:r w:rsidRPr="00EE65E9">
        <w:rPr>
          <w:rFonts w:ascii="Times New Roman" w:hAnsi="Times New Roman" w:cs="Times New Roman"/>
          <w:b/>
          <w:bCs/>
          <w:sz w:val="22"/>
        </w:rPr>
        <w:t>Accommodation and protection</w:t>
      </w:r>
    </w:p>
    <w:p w14:paraId="784A9AD1" w14:textId="77777777" w:rsidR="00272429" w:rsidRPr="00EE65E9" w:rsidRDefault="00272429" w:rsidP="00272429">
      <w:pPr>
        <w:rPr>
          <w:rFonts w:ascii="Times New Roman" w:hAnsi="Times New Roman" w:cs="Times New Roman"/>
          <w:sz w:val="22"/>
        </w:rPr>
      </w:pPr>
      <w:r w:rsidRPr="00B25780">
        <w:rPr>
          <w:rFonts w:ascii="Times New Roman" w:hAnsi="Times New Roman" w:cs="Times New Roman"/>
          <w:sz w:val="22"/>
        </w:rPr>
        <w:t>In the early 19</w:t>
      </w:r>
      <w:r w:rsidRPr="00B25780">
        <w:rPr>
          <w:rFonts w:ascii="Times New Roman" w:hAnsi="Times New Roman" w:cs="Times New Roman"/>
          <w:sz w:val="22"/>
          <w:vertAlign w:val="superscript"/>
        </w:rPr>
        <w:t>th</w:t>
      </w:r>
      <w:r w:rsidRPr="00B25780">
        <w:rPr>
          <w:rFonts w:ascii="Times New Roman" w:hAnsi="Times New Roman" w:cs="Times New Roman"/>
          <w:sz w:val="22"/>
        </w:rPr>
        <w:t xml:space="preserve"> century, </w:t>
      </w:r>
      <w:r w:rsidRPr="00EE65E9">
        <w:rPr>
          <w:rFonts w:ascii="Times New Roman" w:hAnsi="Times New Roman" w:cs="Times New Roman"/>
          <w:sz w:val="22"/>
        </w:rPr>
        <w:t>Governor Macquarie attempted to assimilate Aboriginal people, providing land grants, establishing Aboriginal farms, and founding a Native Institution to provide education to Aboriginal children.</w:t>
      </w:r>
      <w:r w:rsidRPr="00B25780">
        <w:rPr>
          <w:rFonts w:ascii="Times New Roman" w:hAnsi="Times New Roman" w:cs="Times New Roman"/>
          <w:sz w:val="22"/>
        </w:rPr>
        <w:t xml:space="preserve"> </w:t>
      </w:r>
      <w:r w:rsidRPr="00EE65E9">
        <w:rPr>
          <w:rFonts w:ascii="Times New Roman" w:hAnsi="Times New Roman" w:cs="Times New Roman"/>
          <w:sz w:val="22"/>
        </w:rPr>
        <w:t>However, by the 1820s the Native Institution and Aboriginal farms had failed. Aboriginal people continued to live on vacant waterfront land and on the fringes of the Sydney settlement, adapting traditional practices to the new semi-urban environment.</w:t>
      </w:r>
      <w:r w:rsidRPr="00B25780">
        <w:rPr>
          <w:rFonts w:ascii="Times New Roman" w:hAnsi="Times New Roman" w:cs="Times New Roman"/>
          <w:sz w:val="22"/>
        </w:rPr>
        <w:t xml:space="preserve"> </w:t>
      </w:r>
    </w:p>
    <w:p w14:paraId="612247B9" w14:textId="77777777" w:rsidR="00272429" w:rsidRPr="00EE65E9" w:rsidRDefault="00272429" w:rsidP="00272429">
      <w:pPr>
        <w:rPr>
          <w:rFonts w:ascii="Times New Roman" w:hAnsi="Times New Roman" w:cs="Times New Roman"/>
          <w:sz w:val="22"/>
        </w:rPr>
      </w:pPr>
      <w:r w:rsidRPr="00EE65E9">
        <w:rPr>
          <w:rFonts w:ascii="Times New Roman" w:hAnsi="Times New Roman" w:cs="Times New Roman"/>
          <w:sz w:val="22"/>
        </w:rPr>
        <w:t>Following escalating frontier conflict, Protectors of Aborigines were appointed in South Australia and the Port Phillip District in 1839, and in Western Australia in 1840. The aim was to extend the protection of British law to Aboriginal people, to distribute rations, and to provide education, instruction in Christianity, and occupational training. However, by 1857 the protection offices had been closed due to their cost and failure to meets their goals.</w:t>
      </w:r>
      <w:r w:rsidRPr="00B25780">
        <w:rPr>
          <w:rFonts w:ascii="Times New Roman" w:hAnsi="Times New Roman" w:cs="Times New Roman"/>
          <w:sz w:val="22"/>
        </w:rPr>
        <w:t xml:space="preserve"> </w:t>
      </w:r>
    </w:p>
    <w:p w14:paraId="7B267186" w14:textId="77777777" w:rsidR="00272429" w:rsidRPr="00EE65E9" w:rsidRDefault="00272429" w:rsidP="00272429">
      <w:pPr>
        <w:rPr>
          <w:rFonts w:ascii="Times New Roman" w:hAnsi="Times New Roman" w:cs="Times New Roman"/>
          <w:sz w:val="22"/>
        </w:rPr>
      </w:pPr>
      <w:r w:rsidRPr="00EE65E9">
        <w:rPr>
          <w:rFonts w:ascii="Times New Roman" w:hAnsi="Times New Roman" w:cs="Times New Roman"/>
          <w:sz w:val="22"/>
        </w:rPr>
        <w:t xml:space="preserve">In New South Wales, 116 Aboriginal reserves were established between 1860 and 1894. Most reserves allowed Aboriginal people a degree of autonomy and freedom to enter and leave. In contrast, the Victorian Board for the Protection of Aborigines (created in 1869) had extensive power to regulate the employment, education and place of residence of Aboriginal Victorians, and closely managed the five reserves and missions established since </w:t>
      </w:r>
      <w:r w:rsidRPr="00B25780">
        <w:rPr>
          <w:rFonts w:ascii="Times New Roman" w:hAnsi="Times New Roman" w:cs="Times New Roman"/>
          <w:sz w:val="22"/>
        </w:rPr>
        <w:t>self-government</w:t>
      </w:r>
      <w:r w:rsidRPr="00EE65E9">
        <w:rPr>
          <w:rFonts w:ascii="Times New Roman" w:hAnsi="Times New Roman" w:cs="Times New Roman"/>
          <w:sz w:val="22"/>
        </w:rPr>
        <w:t xml:space="preserve"> in 1858. In 1886, the protection board gained the power to exclude "half caste" Aboriginal people from missions and stations. The Victorian legislation was the forerunner of the racial segregation policies of other Australian governments from the 1890s.</w:t>
      </w:r>
      <w:r w:rsidRPr="00B25780">
        <w:rPr>
          <w:rFonts w:ascii="Times New Roman" w:hAnsi="Times New Roman" w:cs="Times New Roman"/>
          <w:sz w:val="22"/>
        </w:rPr>
        <w:t xml:space="preserve"> </w:t>
      </w:r>
    </w:p>
    <w:p w14:paraId="40DACBDE" w14:textId="3E704194" w:rsidR="00272429" w:rsidRPr="00272429" w:rsidRDefault="00272429" w:rsidP="00272429">
      <w:pPr>
        <w:rPr>
          <w:rFonts w:ascii="Times New Roman" w:hAnsi="Times New Roman" w:cs="Times New Roman"/>
          <w:sz w:val="22"/>
        </w:rPr>
      </w:pPr>
      <w:r w:rsidRPr="00EE65E9">
        <w:rPr>
          <w:rFonts w:ascii="Times New Roman" w:hAnsi="Times New Roman" w:cs="Times New Roman"/>
          <w:sz w:val="22"/>
        </w:rPr>
        <w:t xml:space="preserve">In more densely settled areas, most Aboriginal people who had lost control of their land lived on reserves and missions, or on the fringes of cities and towns. In pastoral districts the British Waste Land Act 1848 gave traditional landowners limited rights to live, hunt and gather food on Crown land </w:t>
      </w:r>
      <w:r w:rsidRPr="00EE65E9">
        <w:rPr>
          <w:rFonts w:ascii="Times New Roman" w:hAnsi="Times New Roman" w:cs="Times New Roman"/>
          <w:sz w:val="22"/>
        </w:rPr>
        <w:lastRenderedPageBreak/>
        <w:t>under pastoral leases. Many Aboriginal groups camped on pastoral stations where Aboriginal men were often employed as shepherds and stockmen. These groups were able to retain a connection with their lands and maintain aspects of their traditional culture.</w:t>
      </w:r>
      <w:r w:rsidRPr="00B25780">
        <w:rPr>
          <w:rFonts w:ascii="Times New Roman" w:hAnsi="Times New Roman" w:cs="Times New Roman"/>
          <w:sz w:val="22"/>
        </w:rPr>
        <w:t xml:space="preserve"> </w:t>
      </w:r>
    </w:p>
    <w:p w14:paraId="24CBE68E" w14:textId="77777777" w:rsidR="00272429" w:rsidRPr="00474C14" w:rsidRDefault="00272429" w:rsidP="00272429">
      <w:pPr>
        <w:rPr>
          <w:rFonts w:ascii="Times New Roman" w:hAnsi="Times New Roman" w:cs="Times New Roman"/>
          <w:b/>
          <w:bCs/>
          <w:sz w:val="22"/>
        </w:rPr>
      </w:pPr>
      <w:r w:rsidRPr="00474C14">
        <w:rPr>
          <w:rFonts w:ascii="Times New Roman" w:hAnsi="Times New Roman" w:cs="Times New Roman"/>
          <w:b/>
          <w:bCs/>
          <w:sz w:val="22"/>
        </w:rPr>
        <w:t>Australia in the 1900s</w:t>
      </w:r>
    </w:p>
    <w:p w14:paraId="3D58A66F" w14:textId="77777777" w:rsidR="00272429" w:rsidRPr="00474C14" w:rsidRDefault="00272429" w:rsidP="00272429">
      <w:pPr>
        <w:rPr>
          <w:rFonts w:ascii="Times New Roman" w:hAnsi="Times New Roman" w:cs="Times New Roman"/>
          <w:sz w:val="22"/>
        </w:rPr>
      </w:pPr>
      <w:r w:rsidRPr="00474C14">
        <w:rPr>
          <w:rFonts w:ascii="Times New Roman" w:hAnsi="Times New Roman" w:cs="Times New Roman"/>
          <w:sz w:val="22"/>
        </w:rPr>
        <w:t xml:space="preserve">Times were changing rapidly, with the suffrage movement, </w:t>
      </w:r>
      <w:r w:rsidRPr="00B25780">
        <w:rPr>
          <w:rFonts w:ascii="Times New Roman" w:hAnsi="Times New Roman" w:cs="Times New Roman"/>
          <w:sz w:val="22"/>
        </w:rPr>
        <w:t xml:space="preserve">multiple outbreaks of </w:t>
      </w:r>
      <w:r w:rsidRPr="00474C14">
        <w:rPr>
          <w:rFonts w:ascii="Times New Roman" w:hAnsi="Times New Roman" w:cs="Times New Roman"/>
          <w:sz w:val="22"/>
        </w:rPr>
        <w:t>bubonic plague, and the campaign at Gallipoli beginning in 1915, yet little had improved for Aboriginal and Torres Strait Islander people. The New South Wales government introduced laws encouraging the forcible removal of Aboriginal children from their families in a terrible historical moment that led to the tragedy of the Stolen Generation of Australia. </w:t>
      </w:r>
    </w:p>
    <w:p w14:paraId="0CF5C9CB" w14:textId="77777777" w:rsidR="00272429" w:rsidRPr="00474C14" w:rsidRDefault="00272429" w:rsidP="00272429">
      <w:pPr>
        <w:rPr>
          <w:rFonts w:ascii="Times New Roman" w:hAnsi="Times New Roman" w:cs="Times New Roman"/>
          <w:sz w:val="22"/>
        </w:rPr>
      </w:pPr>
      <w:r w:rsidRPr="00474C14">
        <w:rPr>
          <w:rFonts w:ascii="Times New Roman" w:hAnsi="Times New Roman" w:cs="Times New Roman"/>
          <w:sz w:val="22"/>
        </w:rPr>
        <w:t xml:space="preserve">It wasn’t until 1924 </w:t>
      </w:r>
      <w:r w:rsidRPr="00B25780">
        <w:rPr>
          <w:rFonts w:ascii="Times New Roman" w:hAnsi="Times New Roman" w:cs="Times New Roman"/>
          <w:sz w:val="22"/>
        </w:rPr>
        <w:t>that</w:t>
      </w:r>
      <w:r w:rsidRPr="00474C14">
        <w:rPr>
          <w:rFonts w:ascii="Times New Roman" w:hAnsi="Times New Roman" w:cs="Times New Roman"/>
          <w:sz w:val="22"/>
        </w:rPr>
        <w:t xml:space="preserve"> the Australian Aboriginal Progressive Association (AAPA) first came together to defend the rights of Indigenous Australian people and began campaigning for rights to land, citizenship, and an end to familial separations.</w:t>
      </w:r>
    </w:p>
    <w:p w14:paraId="4C4B1F93" w14:textId="77777777" w:rsidR="00272429" w:rsidRPr="00474C14" w:rsidRDefault="00272429" w:rsidP="00272429">
      <w:pPr>
        <w:rPr>
          <w:rFonts w:ascii="Times New Roman" w:hAnsi="Times New Roman" w:cs="Times New Roman"/>
          <w:sz w:val="22"/>
        </w:rPr>
      </w:pPr>
      <w:r w:rsidRPr="00474C14">
        <w:rPr>
          <w:rFonts w:ascii="Times New Roman" w:hAnsi="Times New Roman" w:cs="Times New Roman"/>
          <w:sz w:val="22"/>
        </w:rPr>
        <w:t>The White Australia policy remained in force until 1955, when it was abandoned, followed by the first referendum on recognising Indigenous Australian people in 1967. Almost 91% of voters approved of changes to the constitution, making Aboriginal and Torres Strait Islander people equal citizens and protected by all Commonwealth laws.</w:t>
      </w:r>
    </w:p>
    <w:p w14:paraId="79073865" w14:textId="77777777" w:rsidR="00272429" w:rsidRPr="00474C14" w:rsidRDefault="00272429" w:rsidP="00272429">
      <w:pPr>
        <w:rPr>
          <w:rFonts w:ascii="Times New Roman" w:hAnsi="Times New Roman" w:cs="Times New Roman"/>
          <w:sz w:val="22"/>
        </w:rPr>
      </w:pPr>
      <w:r w:rsidRPr="00474C14">
        <w:rPr>
          <w:rFonts w:ascii="Times New Roman" w:hAnsi="Times New Roman" w:cs="Times New Roman"/>
          <w:sz w:val="22"/>
        </w:rPr>
        <w:t>However, Indigenous Australian people were not included in the national census until 1971 and were not granted the full right to vote until 1984.</w:t>
      </w:r>
    </w:p>
    <w:p w14:paraId="250B6D69" w14:textId="77777777" w:rsidR="00272429" w:rsidRPr="00B25780" w:rsidRDefault="00272429" w:rsidP="00272429">
      <w:pPr>
        <w:rPr>
          <w:rFonts w:ascii="Times New Roman" w:hAnsi="Times New Roman" w:cs="Times New Roman"/>
          <w:sz w:val="22"/>
        </w:rPr>
      </w:pPr>
    </w:p>
    <w:p w14:paraId="2EF9B00F" w14:textId="73664090" w:rsidR="00272429" w:rsidRPr="00D7401C" w:rsidRDefault="00272429" w:rsidP="00272429">
      <w:pPr>
        <w:pStyle w:val="NoParagraphStyle"/>
      </w:pPr>
    </w:p>
    <w:sectPr w:rsidR="003E7FF8" w:rsidRPr="00D7401C" w:rsidSect="004A26BA">
      <w:headerReference w:type="default" r:id="rId10"/>
      <w:footerReference w:type="default" r:id="rId11"/>
      <w:pgSz w:w="11900" w:h="16840"/>
      <w:pgMar w:top="2266" w:right="1440" w:bottom="1814"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9F5DD" w14:textId="77777777" w:rsidR="00797B4B" w:rsidRDefault="00797B4B" w:rsidP="00D7401C">
      <w:pPr>
        <w:spacing w:after="0" w:line="240" w:lineRule="auto"/>
      </w:pPr>
      <w:r>
        <w:separator/>
      </w:r>
    </w:p>
  </w:endnote>
  <w:endnote w:type="continuationSeparator" w:id="0">
    <w:p w14:paraId="1B7939CD" w14:textId="77777777" w:rsidR="00797B4B" w:rsidRDefault="00797B4B" w:rsidP="00D74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embedRegular r:id="rId1" w:fontKey="{968AF892-347E-9B4D-8929-5AA2ACC2E2A9}"/>
    <w:embedBold r:id="rId2" w:fontKey="{8DD8F970-3533-EB4D-BDF1-C57CC628B3B6}"/>
    <w:embedItalic r:id="rId3" w:fontKey="{6556962E-88C2-3441-8A91-C52496647138}"/>
    <w:embedBoldItalic r:id="rId4" w:fontKey="{91099B09-45BD-614A-8901-1DE8196377E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Gotham Rouned">
    <w:altName w:val="Calibri"/>
    <w:panose1 w:val="020B0604020202020204"/>
    <w:charset w:val="4D"/>
    <w:family w:val="auto"/>
    <w:pitch w:val="variable"/>
    <w:sig w:usb0="800000AF" w:usb1="40000048"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Times New Roman (Headings CS)">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embedRegular r:id="rId5" w:subsetted="1" w:fontKey="{3B2BBECD-A5F6-D242-B337-390A65E864E5}"/>
  </w:font>
  <w:font w:name="Gotham Rounded Medium">
    <w:altName w:val="Calibri"/>
    <w:panose1 w:val="020B0604020202020204"/>
    <w:charset w:val="4D"/>
    <w:family w:val="auto"/>
    <w:pitch w:val="variable"/>
    <w:sig w:usb0="A000007F" w:usb1="0000004A" w:usb2="00000000" w:usb3="00000000" w:csb0="00000193" w:csb1="00000000"/>
  </w:font>
  <w:font w:name="Times New Roman (Body CS)">
    <w:altName w:val="Times New Roman"/>
    <w:panose1 w:val="020B0604020202020204"/>
    <w:charset w:val="00"/>
    <w:family w:val="roman"/>
    <w:pitch w:val="default"/>
  </w:font>
  <w:font w:name="Gotham Rounded Book">
    <w:panose1 w:val="020B0604020202020204"/>
    <w:charset w:val="4D"/>
    <w:family w:val="auto"/>
    <w:pitch w:val="variable"/>
    <w:sig w:usb0="A000007F" w:usb1="0000004A" w:usb2="00000000" w:usb3="00000000" w:csb0="00000193" w:csb1="00000000"/>
  </w:font>
  <w:font w:name="Consolas">
    <w:panose1 w:val="020B0609020204030204"/>
    <w:charset w:val="00"/>
    <w:family w:val="modern"/>
    <w:pitch w:val="fixed"/>
    <w:sig w:usb0="E10002FF" w:usb1="4000FCFF" w:usb2="00000009" w:usb3="00000000" w:csb0="0000019F" w:csb1="00000000"/>
  </w:font>
  <w:font w:name="Minion Pro">
    <w:altName w:val="Cambria"/>
    <w:panose1 w:val="020B0604020202020204"/>
    <w:charset w:val="00"/>
    <w:family w:val="roman"/>
    <w:pitch w:val="variable"/>
    <w:sig w:usb0="6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FFFFFF" w:themeColor="background1"/>
        <w:sz w:val="18"/>
        <w:szCs w:val="18"/>
      </w:rPr>
      <w:id w:val="-2011740477"/>
      <w:docPartObj>
        <w:docPartGallery w:val="Page Numbers (Bottom of Page)"/>
        <w:docPartUnique/>
      </w:docPartObj>
    </w:sdtPr>
    <w:sdtEndPr>
      <w:rPr>
        <w:rStyle w:val="PageNumber"/>
        <w:rFonts w:ascii="Arial" w:hAnsi="Arial" w:cs="Arial"/>
      </w:rPr>
    </w:sdtEndPr>
    <w:sdtContent>
      <w:p w14:paraId="7E819738" w14:textId="77777777" w:rsidR="00D7401C" w:rsidRPr="00D7401C" w:rsidRDefault="00D7401C" w:rsidP="00D7401C">
        <w:pPr>
          <w:pStyle w:val="Footer"/>
          <w:framePr w:w="198" w:wrap="none" w:vAnchor="text" w:hAnchor="page" w:x="11090" w:y="48"/>
          <w:jc w:val="right"/>
          <w:rPr>
            <w:rStyle w:val="PageNumber"/>
            <w:rFonts w:ascii="Arial" w:hAnsi="Arial" w:cs="Arial"/>
            <w:color w:val="FFFFFF" w:themeColor="background1"/>
            <w:sz w:val="18"/>
            <w:szCs w:val="18"/>
          </w:rPr>
        </w:pPr>
        <w:r w:rsidRPr="00D7401C">
          <w:rPr>
            <w:rStyle w:val="PageNumber"/>
            <w:rFonts w:ascii="Arial" w:hAnsi="Arial" w:cs="Arial"/>
            <w:color w:val="3B3838" w:themeColor="background2" w:themeShade="40"/>
            <w:sz w:val="18"/>
            <w:szCs w:val="18"/>
          </w:rPr>
          <w:t>2</w:t>
        </w:r>
      </w:p>
    </w:sdtContent>
  </w:sdt>
  <w:p w14:paraId="4C933CA0" w14:textId="77777777" w:rsidR="00D7401C" w:rsidRDefault="00D7401C">
    <w:pPr>
      <w:pStyle w:val="Footer"/>
    </w:pPr>
    <w:r>
      <w:rPr>
        <w:noProof/>
      </w:rPr>
      <w:drawing>
        <wp:anchor distT="0" distB="0" distL="114300" distR="114300" simplePos="0" relativeHeight="251663360" behindDoc="1" locked="0" layoutInCell="1" allowOverlap="1" wp14:anchorId="1947557F" wp14:editId="60A7B004">
          <wp:simplePos x="0" y="0"/>
          <wp:positionH relativeFrom="column">
            <wp:posOffset>-911225</wp:posOffset>
          </wp:positionH>
          <wp:positionV relativeFrom="paragraph">
            <wp:posOffset>-317158</wp:posOffset>
          </wp:positionV>
          <wp:extent cx="7551090" cy="875672"/>
          <wp:effectExtent l="0" t="0" r="5715"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pic:cNvPicPr/>
                </pic:nvPicPr>
                <pic:blipFill>
                  <a:blip r:embed="rId1">
                    <a:extLst>
                      <a:ext uri="{28A0092B-C50C-407E-A947-70E740481C1C}">
                        <a14:useLocalDpi xmlns:a14="http://schemas.microsoft.com/office/drawing/2010/main" val="0"/>
                      </a:ext>
                    </a:extLst>
                  </a:blip>
                  <a:stretch>
                    <a:fillRect/>
                  </a:stretch>
                </pic:blipFill>
                <pic:spPr>
                  <a:xfrm>
                    <a:off x="0" y="0"/>
                    <a:ext cx="7551090" cy="87567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1A98A" w14:textId="77777777" w:rsidR="00797B4B" w:rsidRDefault="00797B4B" w:rsidP="00D7401C">
      <w:pPr>
        <w:spacing w:after="0" w:line="240" w:lineRule="auto"/>
      </w:pPr>
      <w:r>
        <w:separator/>
      </w:r>
    </w:p>
  </w:footnote>
  <w:footnote w:type="continuationSeparator" w:id="0">
    <w:p w14:paraId="64F37FEC" w14:textId="77777777" w:rsidR="00797B4B" w:rsidRDefault="00797B4B" w:rsidP="00D740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A09A5" w14:textId="7BA175C2" w:rsidR="00D7401C" w:rsidRDefault="00272429" w:rsidP="00D7401C">
    <w:pPr>
      <w:pStyle w:val="Header"/>
    </w:pPr>
    <w:r>
      <w:rPr>
        <w:noProof/>
      </w:rPr>
      <mc:AlternateContent>
        <mc:Choice Requires="wps">
          <w:drawing>
            <wp:anchor distT="0" distB="0" distL="114300" distR="114300" simplePos="0" relativeHeight="251661312" behindDoc="0" locked="0" layoutInCell="1" allowOverlap="1" wp14:anchorId="19EC6844" wp14:editId="0D7180DF">
              <wp:simplePos x="0" y="0"/>
              <wp:positionH relativeFrom="column">
                <wp:posOffset>-380326</wp:posOffset>
              </wp:positionH>
              <wp:positionV relativeFrom="paragraph">
                <wp:posOffset>84494</wp:posOffset>
              </wp:positionV>
              <wp:extent cx="4847130"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4847130" cy="307975"/>
                      </a:xfrm>
                      <a:prstGeom prst="rect">
                        <a:avLst/>
                      </a:prstGeom>
                      <a:noFill/>
                      <a:ln w="6350">
                        <a:noFill/>
                      </a:ln>
                    </wps:spPr>
                    <wps:txbx>
                      <w:txbxContent>
                        <w:p w14:paraId="39499558" w14:textId="366FD740" w:rsidR="00C544B1" w:rsidRPr="00C544B1" w:rsidRDefault="00272429" w:rsidP="00D7401C">
                          <w:pPr>
                            <w:rPr>
                              <w:rFonts w:ascii="Times New Roman" w:hAnsi="Times New Roman" w:cs="Times New Roman"/>
                              <w:color w:val="3B3838" w:themeColor="background2" w:themeShade="40"/>
                              <w:sz w:val="28"/>
                              <w:szCs w:val="28"/>
                            </w:rPr>
                          </w:pPr>
                          <w:r w:rsidRPr="00272429">
                            <w:rPr>
                              <w:rFonts w:ascii="Times New Roman" w:hAnsi="Times New Roman" w:cs="Times New Roman"/>
                              <w:b/>
                              <w:bCs/>
                              <w:i/>
                              <w:iCs/>
                              <w:color w:val="3B3838" w:themeColor="background2" w:themeShade="40"/>
                              <w:sz w:val="28"/>
                              <w:szCs w:val="28"/>
                            </w:rPr>
                            <w:t>Introduction to the history of European settlement in Australia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EC6844" id="_x0000_t202" coordsize="21600,21600" o:spt="202" path="m,l,21600r21600,l21600,xe">
              <v:stroke joinstyle="miter"/>
              <v:path gradientshapeok="t" o:connecttype="rect"/>
            </v:shapetype>
            <v:shape id="Text Box 40" o:spid="_x0000_s1028" type="#_x0000_t202" style="position:absolute;margin-left:-29.95pt;margin-top:6.65pt;width:381.65pt;height:2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rRq+FwIAACwEAAAOAAAAZHJzL2Uyb0RvYy54bWysU8lu2zAQvRfIPxC8x5K3OBEsB24CFwWM&#13;&#10;JIBT5ExTpCWA4rAkbcn9+g4peUHaU9ELNcMZzfLe4/yxrRU5COsq0DkdDlJKhOZQVHqX0x/vq9t7&#13;&#10;SpxnumAKtMjpUTj6uLj5Mm9MJkZQgiqEJVhEu6wxOS29N1mSOF6KmrkBGKExKMHWzKNrd0lhWYPV&#13;&#10;a5WM0vQuacAWxgIXzuHtcxeki1hfSsH9q5ROeKJyirP5eNp4bsOZLOYs21lmyor3Y7B/mKJmlcam&#13;&#10;51LPzDOyt9UfpeqKW3Ag/YBDnYCUFRdxB9xmmH7aZlMyI+IuCI4zZ5jc/yvLXw4b82aJb79CiwQG&#13;&#10;QBrjMoeXYZ9W2jp8cVKCcYTweIZNtJ5wvJzcT2bDMYY4xsbp7GE2DWWSy9/GOv9NQE2CkVOLtES0&#13;&#10;2GHtfJd6SgnNNKwqpSI1SpMmp3fjaRp/OEewuNLY4zJrsHy7bfsFtlAccS8LHeXO8FWFzdfM+Tdm&#13;&#10;kWOcF3XrX/GQCrAJ9BYlJdhff7sP+Qg9RilpUDM5dT/3zApK1HeNpDwMJ5MgsuhMprMROvY6sr2O&#13;&#10;6H39BCjLIb4Qw6MZ8r06mdJC/YHyXoauGGKaY++c+pP55Dsl4/PgYrmMSSgrw/xabwwPpQOcAdr3&#13;&#10;9oNZ0+PvkbkXOKmLZZ9o6HI7IpZ7D7KKHAWAO1R73FGSkeX++QTNX/sx6/LIF78BAAD//wMAUEsD&#13;&#10;BBQABgAIAAAAIQD3UhQI5QAAAA4BAAAPAAAAZHJzL2Rvd25yZXYueG1sTE/LTsJAFN2b+A+Ta+IO&#13;&#10;plDBUjolpIaYGFzw2LC77Qxt4zxqZ4Dq13td6eYkN+fc88hWg9HsqnrfOitgMo6AKVs52dpawPGw&#13;&#10;GSXAfEArUTurBHwpD6v8/i7DVLqb3anrPtSMTKxPUUATQpdy7qtGGfRj1ylL3Nn1BgOdfc1ljzcy&#13;&#10;N5pPo2jODbaWEhrsVNGo6mN/MQLeis077sqpSb518bo9r7vP42kmxOPD8LIkWC+BBTWEvw/43UD9&#13;&#10;IadipbtY6ZkWMJotFiQlIo6BkeA5ip+AlQLmkwR4nvH/M/IfAAAA//8DAFBLAQItABQABgAIAAAA&#13;&#10;IQC2gziS/gAAAOEBAAATAAAAAAAAAAAAAAAAAAAAAABbQ29udGVudF9UeXBlc10ueG1sUEsBAi0A&#13;&#10;FAAGAAgAAAAhADj9If/WAAAAlAEAAAsAAAAAAAAAAAAAAAAALwEAAF9yZWxzLy5yZWxzUEsBAi0A&#13;&#10;FAAGAAgAAAAhAKStGr4XAgAALAQAAA4AAAAAAAAAAAAAAAAALgIAAGRycy9lMm9Eb2MueG1sUEsB&#13;&#10;Ai0AFAAGAAgAAAAhAPdSFAjlAAAADgEAAA8AAAAAAAAAAAAAAAAAcQQAAGRycy9kb3ducmV2Lnht&#13;&#10;bFBLBQYAAAAABAAEAPMAAACDBQAAAAA=&#13;&#10;" filled="f" stroked="f" strokeweight=".5pt">
              <v:textbox>
                <w:txbxContent>
                  <w:p w14:paraId="39499558" w14:textId="366FD740" w:rsidR="00C544B1" w:rsidRPr="00C544B1" w:rsidRDefault="00272429" w:rsidP="00D7401C">
                    <w:pPr>
                      <w:rPr>
                        <w:rFonts w:ascii="Times New Roman" w:hAnsi="Times New Roman" w:cs="Times New Roman"/>
                        <w:color w:val="3B3838" w:themeColor="background2" w:themeShade="40"/>
                        <w:sz w:val="28"/>
                        <w:szCs w:val="28"/>
                      </w:rPr>
                    </w:pPr>
                    <w:r w:rsidRPr="00272429">
                      <w:rPr>
                        <w:rFonts w:ascii="Times New Roman" w:hAnsi="Times New Roman" w:cs="Times New Roman"/>
                        <w:b/>
                        <w:bCs/>
                        <w:i/>
                        <w:iCs/>
                        <w:color w:val="3B3838" w:themeColor="background2" w:themeShade="40"/>
                        <w:sz w:val="28"/>
                        <w:szCs w:val="28"/>
                      </w:rPr>
                      <w:t>Introduction to the history of European settlement in Australia</w:t>
                    </w:r>
                  </w:p>
                </w:txbxContent>
              </v:textbox>
            </v:shape>
          </w:pict>
        </mc:Fallback>
      </mc:AlternateContent>
    </w:r>
    <w:r w:rsidR="00AB3D94">
      <w:rPr>
        <w:noProof/>
      </w:rPr>
      <w:drawing>
        <wp:anchor distT="0" distB="0" distL="114300" distR="114300" simplePos="0" relativeHeight="251659264" behindDoc="1" locked="0" layoutInCell="1" allowOverlap="1" wp14:anchorId="4E76A16D" wp14:editId="5049BC80">
          <wp:simplePos x="0" y="0"/>
          <wp:positionH relativeFrom="column">
            <wp:posOffset>-914400</wp:posOffset>
          </wp:positionH>
          <wp:positionV relativeFrom="paragraph">
            <wp:posOffset>-449580</wp:posOffset>
          </wp:positionV>
          <wp:extent cx="7552348" cy="1155065"/>
          <wp:effectExtent l="0" t="0" r="4445"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extLst>
                      <a:ext uri="{28A0092B-C50C-407E-A947-70E740481C1C}">
                        <a14:useLocalDpi xmlns:a14="http://schemas.microsoft.com/office/drawing/2010/main" val="0"/>
                      </a:ext>
                    </a:extLst>
                  </a:blip>
                  <a:stretch>
                    <a:fillRect/>
                  </a:stretch>
                </pic:blipFill>
                <pic:spPr>
                  <a:xfrm>
                    <a:off x="0" y="0"/>
                    <a:ext cx="7552348" cy="11550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9222A"/>
    <w:multiLevelType w:val="hybridMultilevel"/>
    <w:tmpl w:val="EFB8057C"/>
    <w:lvl w:ilvl="0" w:tplc="B896C254">
      <w:start w:val="1"/>
      <w:numFmt w:val="bullet"/>
      <w:pStyle w:val="NormalBullet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565F8C"/>
    <w:multiLevelType w:val="hybridMultilevel"/>
    <w:tmpl w:val="5680F046"/>
    <w:lvl w:ilvl="0" w:tplc="7146001E">
      <w:start w:val="1"/>
      <w:numFmt w:val="decimal"/>
      <w:pStyle w:val="NormalNumbered"/>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8907170">
    <w:abstractNumId w:val="0"/>
  </w:num>
  <w:num w:numId="2" w16cid:durableId="1319385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embedTrueTypeFonts/>
  <w:saveSubset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01C"/>
    <w:rsid w:val="000022C7"/>
    <w:rsid w:val="00006300"/>
    <w:rsid w:val="0002039F"/>
    <w:rsid w:val="00020915"/>
    <w:rsid w:val="00022DD5"/>
    <w:rsid w:val="00036BED"/>
    <w:rsid w:val="00045C04"/>
    <w:rsid w:val="00055D30"/>
    <w:rsid w:val="000570CF"/>
    <w:rsid w:val="0006226A"/>
    <w:rsid w:val="00062C99"/>
    <w:rsid w:val="00065B08"/>
    <w:rsid w:val="00066E1B"/>
    <w:rsid w:val="00076657"/>
    <w:rsid w:val="000807FB"/>
    <w:rsid w:val="0008519D"/>
    <w:rsid w:val="000913F4"/>
    <w:rsid w:val="0009440D"/>
    <w:rsid w:val="000A7CBA"/>
    <w:rsid w:val="000C33F0"/>
    <w:rsid w:val="000D07DF"/>
    <w:rsid w:val="000E1981"/>
    <w:rsid w:val="000E51B2"/>
    <w:rsid w:val="000F32ED"/>
    <w:rsid w:val="000F72C8"/>
    <w:rsid w:val="00117F52"/>
    <w:rsid w:val="00124AD3"/>
    <w:rsid w:val="001267EE"/>
    <w:rsid w:val="0013312A"/>
    <w:rsid w:val="00134B50"/>
    <w:rsid w:val="00137BF4"/>
    <w:rsid w:val="001551D3"/>
    <w:rsid w:val="00162B43"/>
    <w:rsid w:val="001707B2"/>
    <w:rsid w:val="0017174E"/>
    <w:rsid w:val="00175F23"/>
    <w:rsid w:val="001878A2"/>
    <w:rsid w:val="00190689"/>
    <w:rsid w:val="00190D3A"/>
    <w:rsid w:val="001913EB"/>
    <w:rsid w:val="001938E6"/>
    <w:rsid w:val="00196C25"/>
    <w:rsid w:val="001A4EDB"/>
    <w:rsid w:val="001A63B4"/>
    <w:rsid w:val="001A683E"/>
    <w:rsid w:val="001B08D9"/>
    <w:rsid w:val="001B40A4"/>
    <w:rsid w:val="001B71A5"/>
    <w:rsid w:val="001C2786"/>
    <w:rsid w:val="001C5264"/>
    <w:rsid w:val="001C565D"/>
    <w:rsid w:val="001D1FF1"/>
    <w:rsid w:val="001D5564"/>
    <w:rsid w:val="00200BA4"/>
    <w:rsid w:val="00200E0A"/>
    <w:rsid w:val="00201BEF"/>
    <w:rsid w:val="00211DF1"/>
    <w:rsid w:val="002260EE"/>
    <w:rsid w:val="00230199"/>
    <w:rsid w:val="00231BB7"/>
    <w:rsid w:val="00231CB7"/>
    <w:rsid w:val="00232698"/>
    <w:rsid w:val="002428B3"/>
    <w:rsid w:val="00242B38"/>
    <w:rsid w:val="00244B83"/>
    <w:rsid w:val="002468A7"/>
    <w:rsid w:val="00254EFA"/>
    <w:rsid w:val="00256682"/>
    <w:rsid w:val="00260F5E"/>
    <w:rsid w:val="00272429"/>
    <w:rsid w:val="0028330E"/>
    <w:rsid w:val="00287948"/>
    <w:rsid w:val="00290EBE"/>
    <w:rsid w:val="00295049"/>
    <w:rsid w:val="002974DE"/>
    <w:rsid w:val="002A44E4"/>
    <w:rsid w:val="002A486F"/>
    <w:rsid w:val="002B2EFD"/>
    <w:rsid w:val="002B706D"/>
    <w:rsid w:val="002D6AB7"/>
    <w:rsid w:val="002E01F5"/>
    <w:rsid w:val="002E4B81"/>
    <w:rsid w:val="002E68CC"/>
    <w:rsid w:val="002F023D"/>
    <w:rsid w:val="00301865"/>
    <w:rsid w:val="00314843"/>
    <w:rsid w:val="00315B2E"/>
    <w:rsid w:val="003218B4"/>
    <w:rsid w:val="003309E9"/>
    <w:rsid w:val="003331D5"/>
    <w:rsid w:val="00334714"/>
    <w:rsid w:val="00346012"/>
    <w:rsid w:val="003671AE"/>
    <w:rsid w:val="00367D24"/>
    <w:rsid w:val="00371BD7"/>
    <w:rsid w:val="0038046B"/>
    <w:rsid w:val="00381E0B"/>
    <w:rsid w:val="00387FD5"/>
    <w:rsid w:val="00394DC7"/>
    <w:rsid w:val="00397046"/>
    <w:rsid w:val="003A4489"/>
    <w:rsid w:val="003A63DD"/>
    <w:rsid w:val="003A7604"/>
    <w:rsid w:val="003B5F1E"/>
    <w:rsid w:val="003B7C6B"/>
    <w:rsid w:val="003C000C"/>
    <w:rsid w:val="003C0329"/>
    <w:rsid w:val="003C2E97"/>
    <w:rsid w:val="003D46C5"/>
    <w:rsid w:val="003E3CFC"/>
    <w:rsid w:val="003F22B3"/>
    <w:rsid w:val="00405D3E"/>
    <w:rsid w:val="00406067"/>
    <w:rsid w:val="00410F02"/>
    <w:rsid w:val="00420018"/>
    <w:rsid w:val="004214EB"/>
    <w:rsid w:val="00425FC3"/>
    <w:rsid w:val="004261D0"/>
    <w:rsid w:val="00426DCA"/>
    <w:rsid w:val="004276D8"/>
    <w:rsid w:val="0043089B"/>
    <w:rsid w:val="0043547E"/>
    <w:rsid w:val="00441BE3"/>
    <w:rsid w:val="00446018"/>
    <w:rsid w:val="00447733"/>
    <w:rsid w:val="00457304"/>
    <w:rsid w:val="004575A4"/>
    <w:rsid w:val="00466CE2"/>
    <w:rsid w:val="00470930"/>
    <w:rsid w:val="0047355D"/>
    <w:rsid w:val="00475F3F"/>
    <w:rsid w:val="00482D71"/>
    <w:rsid w:val="00485004"/>
    <w:rsid w:val="004930A3"/>
    <w:rsid w:val="00493BC5"/>
    <w:rsid w:val="004A03AC"/>
    <w:rsid w:val="004A18B2"/>
    <w:rsid w:val="004A26BA"/>
    <w:rsid w:val="004B424D"/>
    <w:rsid w:val="004C0194"/>
    <w:rsid w:val="004C134F"/>
    <w:rsid w:val="004D0F21"/>
    <w:rsid w:val="004D2393"/>
    <w:rsid w:val="004D4A86"/>
    <w:rsid w:val="004D5BB6"/>
    <w:rsid w:val="004D6EBE"/>
    <w:rsid w:val="004E22C7"/>
    <w:rsid w:val="004E43F0"/>
    <w:rsid w:val="004E4E19"/>
    <w:rsid w:val="004F1EBD"/>
    <w:rsid w:val="004F6529"/>
    <w:rsid w:val="00502EA6"/>
    <w:rsid w:val="00511204"/>
    <w:rsid w:val="00514F01"/>
    <w:rsid w:val="00521066"/>
    <w:rsid w:val="005212C4"/>
    <w:rsid w:val="005246AE"/>
    <w:rsid w:val="005279FD"/>
    <w:rsid w:val="00530799"/>
    <w:rsid w:val="00533FF8"/>
    <w:rsid w:val="005411CF"/>
    <w:rsid w:val="00552409"/>
    <w:rsid w:val="005562C9"/>
    <w:rsid w:val="00557E0C"/>
    <w:rsid w:val="00560F0D"/>
    <w:rsid w:val="00567442"/>
    <w:rsid w:val="00567947"/>
    <w:rsid w:val="00583709"/>
    <w:rsid w:val="00585817"/>
    <w:rsid w:val="00591045"/>
    <w:rsid w:val="005A1C55"/>
    <w:rsid w:val="005B0468"/>
    <w:rsid w:val="005C548F"/>
    <w:rsid w:val="005C656B"/>
    <w:rsid w:val="005C67A4"/>
    <w:rsid w:val="005E029D"/>
    <w:rsid w:val="005E31A6"/>
    <w:rsid w:val="005E769C"/>
    <w:rsid w:val="005F16E4"/>
    <w:rsid w:val="005F18D4"/>
    <w:rsid w:val="005F4089"/>
    <w:rsid w:val="00602D99"/>
    <w:rsid w:val="00603FE9"/>
    <w:rsid w:val="00610670"/>
    <w:rsid w:val="00610F98"/>
    <w:rsid w:val="006125EB"/>
    <w:rsid w:val="006136E5"/>
    <w:rsid w:val="00613B43"/>
    <w:rsid w:val="00617E25"/>
    <w:rsid w:val="0062570E"/>
    <w:rsid w:val="00652E1E"/>
    <w:rsid w:val="00655E96"/>
    <w:rsid w:val="0066110F"/>
    <w:rsid w:val="00661B85"/>
    <w:rsid w:val="0066450B"/>
    <w:rsid w:val="00666AC9"/>
    <w:rsid w:val="00672C7E"/>
    <w:rsid w:val="00674B65"/>
    <w:rsid w:val="00675B4D"/>
    <w:rsid w:val="0068726D"/>
    <w:rsid w:val="006A38BB"/>
    <w:rsid w:val="006B4416"/>
    <w:rsid w:val="006B4B70"/>
    <w:rsid w:val="006C2291"/>
    <w:rsid w:val="006C2546"/>
    <w:rsid w:val="006C54B6"/>
    <w:rsid w:val="006C7E44"/>
    <w:rsid w:val="006D288A"/>
    <w:rsid w:val="006D628D"/>
    <w:rsid w:val="006E1774"/>
    <w:rsid w:val="006F3833"/>
    <w:rsid w:val="006F4AA9"/>
    <w:rsid w:val="006F5408"/>
    <w:rsid w:val="00710E91"/>
    <w:rsid w:val="00712474"/>
    <w:rsid w:val="00713C15"/>
    <w:rsid w:val="00714097"/>
    <w:rsid w:val="00715929"/>
    <w:rsid w:val="00716C6C"/>
    <w:rsid w:val="0072052A"/>
    <w:rsid w:val="00721126"/>
    <w:rsid w:val="00725986"/>
    <w:rsid w:val="007278F8"/>
    <w:rsid w:val="00730361"/>
    <w:rsid w:val="00730529"/>
    <w:rsid w:val="00734B5C"/>
    <w:rsid w:val="0074070C"/>
    <w:rsid w:val="00742E80"/>
    <w:rsid w:val="0074527A"/>
    <w:rsid w:val="00745F67"/>
    <w:rsid w:val="00752B9D"/>
    <w:rsid w:val="00753970"/>
    <w:rsid w:val="00753CE7"/>
    <w:rsid w:val="00765557"/>
    <w:rsid w:val="0076779E"/>
    <w:rsid w:val="00776DF1"/>
    <w:rsid w:val="00777120"/>
    <w:rsid w:val="007800DB"/>
    <w:rsid w:val="00785031"/>
    <w:rsid w:val="007869F1"/>
    <w:rsid w:val="00790C5F"/>
    <w:rsid w:val="00795E60"/>
    <w:rsid w:val="007968E1"/>
    <w:rsid w:val="00797B4B"/>
    <w:rsid w:val="007B13D3"/>
    <w:rsid w:val="007B177E"/>
    <w:rsid w:val="007B213E"/>
    <w:rsid w:val="007B4570"/>
    <w:rsid w:val="007B4CC9"/>
    <w:rsid w:val="007B538E"/>
    <w:rsid w:val="007B597B"/>
    <w:rsid w:val="007C11C2"/>
    <w:rsid w:val="007C7C48"/>
    <w:rsid w:val="007D5821"/>
    <w:rsid w:val="007D69FB"/>
    <w:rsid w:val="007E06E6"/>
    <w:rsid w:val="007E542D"/>
    <w:rsid w:val="007F208A"/>
    <w:rsid w:val="007F2CC3"/>
    <w:rsid w:val="007F549C"/>
    <w:rsid w:val="007F5894"/>
    <w:rsid w:val="007F7C5F"/>
    <w:rsid w:val="00803E8C"/>
    <w:rsid w:val="008224EB"/>
    <w:rsid w:val="0082576A"/>
    <w:rsid w:val="008264A4"/>
    <w:rsid w:val="00826E68"/>
    <w:rsid w:val="00832E5D"/>
    <w:rsid w:val="00836226"/>
    <w:rsid w:val="00840C35"/>
    <w:rsid w:val="008411AE"/>
    <w:rsid w:val="00850568"/>
    <w:rsid w:val="008529C7"/>
    <w:rsid w:val="00852F95"/>
    <w:rsid w:val="00855FBE"/>
    <w:rsid w:val="008648F8"/>
    <w:rsid w:val="00864AF4"/>
    <w:rsid w:val="00866CEA"/>
    <w:rsid w:val="00870972"/>
    <w:rsid w:val="00871AED"/>
    <w:rsid w:val="00876187"/>
    <w:rsid w:val="0088200E"/>
    <w:rsid w:val="00883CDF"/>
    <w:rsid w:val="008A14C9"/>
    <w:rsid w:val="008A1B7F"/>
    <w:rsid w:val="008B390F"/>
    <w:rsid w:val="008B6AFE"/>
    <w:rsid w:val="008C26FC"/>
    <w:rsid w:val="008C3B65"/>
    <w:rsid w:val="008C55F2"/>
    <w:rsid w:val="008D19A9"/>
    <w:rsid w:val="008D41AF"/>
    <w:rsid w:val="008D4250"/>
    <w:rsid w:val="008E5054"/>
    <w:rsid w:val="008F37C8"/>
    <w:rsid w:val="00906750"/>
    <w:rsid w:val="009134A8"/>
    <w:rsid w:val="00913B57"/>
    <w:rsid w:val="00930AC4"/>
    <w:rsid w:val="0094129D"/>
    <w:rsid w:val="00944F75"/>
    <w:rsid w:val="00945EF2"/>
    <w:rsid w:val="009505F2"/>
    <w:rsid w:val="00960B9C"/>
    <w:rsid w:val="00967EEC"/>
    <w:rsid w:val="009718AC"/>
    <w:rsid w:val="0097260D"/>
    <w:rsid w:val="009779E7"/>
    <w:rsid w:val="009858B2"/>
    <w:rsid w:val="009865C6"/>
    <w:rsid w:val="00986888"/>
    <w:rsid w:val="00986CCD"/>
    <w:rsid w:val="00990AED"/>
    <w:rsid w:val="009A0C9F"/>
    <w:rsid w:val="009B38E0"/>
    <w:rsid w:val="009B75F3"/>
    <w:rsid w:val="009D1136"/>
    <w:rsid w:val="009E4875"/>
    <w:rsid w:val="009F2434"/>
    <w:rsid w:val="00A0179F"/>
    <w:rsid w:val="00A0731A"/>
    <w:rsid w:val="00A07620"/>
    <w:rsid w:val="00A1364D"/>
    <w:rsid w:val="00A21643"/>
    <w:rsid w:val="00A30079"/>
    <w:rsid w:val="00A32BE1"/>
    <w:rsid w:val="00A3361B"/>
    <w:rsid w:val="00A361A3"/>
    <w:rsid w:val="00A371DB"/>
    <w:rsid w:val="00A3721E"/>
    <w:rsid w:val="00A40C4F"/>
    <w:rsid w:val="00A41602"/>
    <w:rsid w:val="00A46FB0"/>
    <w:rsid w:val="00A47D2A"/>
    <w:rsid w:val="00A50E17"/>
    <w:rsid w:val="00A51569"/>
    <w:rsid w:val="00A5602B"/>
    <w:rsid w:val="00A57163"/>
    <w:rsid w:val="00A57B23"/>
    <w:rsid w:val="00A61B80"/>
    <w:rsid w:val="00A61CF6"/>
    <w:rsid w:val="00A6206A"/>
    <w:rsid w:val="00A649A3"/>
    <w:rsid w:val="00A73071"/>
    <w:rsid w:val="00A7318A"/>
    <w:rsid w:val="00A8165C"/>
    <w:rsid w:val="00A822B6"/>
    <w:rsid w:val="00A91AF9"/>
    <w:rsid w:val="00A92A74"/>
    <w:rsid w:val="00A975CE"/>
    <w:rsid w:val="00AA1FE2"/>
    <w:rsid w:val="00AB18B5"/>
    <w:rsid w:val="00AB3D1C"/>
    <w:rsid w:val="00AB3D94"/>
    <w:rsid w:val="00AB6003"/>
    <w:rsid w:val="00AC4A49"/>
    <w:rsid w:val="00AD7D08"/>
    <w:rsid w:val="00AE0BF1"/>
    <w:rsid w:val="00AE32CF"/>
    <w:rsid w:val="00AF1760"/>
    <w:rsid w:val="00AF2FBD"/>
    <w:rsid w:val="00AF4516"/>
    <w:rsid w:val="00B21FA5"/>
    <w:rsid w:val="00B23751"/>
    <w:rsid w:val="00B3095A"/>
    <w:rsid w:val="00B36BC6"/>
    <w:rsid w:val="00B620E9"/>
    <w:rsid w:val="00B7100F"/>
    <w:rsid w:val="00B755CD"/>
    <w:rsid w:val="00B822A6"/>
    <w:rsid w:val="00B95C45"/>
    <w:rsid w:val="00BB06E3"/>
    <w:rsid w:val="00BB2B3D"/>
    <w:rsid w:val="00BB2C8C"/>
    <w:rsid w:val="00BC6698"/>
    <w:rsid w:val="00BD51B1"/>
    <w:rsid w:val="00BD5824"/>
    <w:rsid w:val="00BE0913"/>
    <w:rsid w:val="00BE3A29"/>
    <w:rsid w:val="00BF181E"/>
    <w:rsid w:val="00BF4416"/>
    <w:rsid w:val="00BF63B5"/>
    <w:rsid w:val="00C0221E"/>
    <w:rsid w:val="00C03CCA"/>
    <w:rsid w:val="00C260C8"/>
    <w:rsid w:val="00C36F66"/>
    <w:rsid w:val="00C41F52"/>
    <w:rsid w:val="00C544B1"/>
    <w:rsid w:val="00C54D66"/>
    <w:rsid w:val="00C6529B"/>
    <w:rsid w:val="00C66903"/>
    <w:rsid w:val="00C67246"/>
    <w:rsid w:val="00C80A0B"/>
    <w:rsid w:val="00C82C6D"/>
    <w:rsid w:val="00C83401"/>
    <w:rsid w:val="00C91AAF"/>
    <w:rsid w:val="00C9458E"/>
    <w:rsid w:val="00C94A66"/>
    <w:rsid w:val="00C97D0B"/>
    <w:rsid w:val="00CA544A"/>
    <w:rsid w:val="00CB41F7"/>
    <w:rsid w:val="00CB4E5D"/>
    <w:rsid w:val="00CD6F00"/>
    <w:rsid w:val="00CE26EA"/>
    <w:rsid w:val="00D00ECC"/>
    <w:rsid w:val="00D010D0"/>
    <w:rsid w:val="00D0174F"/>
    <w:rsid w:val="00D030DF"/>
    <w:rsid w:val="00D251DE"/>
    <w:rsid w:val="00D25F66"/>
    <w:rsid w:val="00D327CD"/>
    <w:rsid w:val="00D35FEE"/>
    <w:rsid w:val="00D41135"/>
    <w:rsid w:val="00D425AD"/>
    <w:rsid w:val="00D42A00"/>
    <w:rsid w:val="00D43D0D"/>
    <w:rsid w:val="00D5624C"/>
    <w:rsid w:val="00D60045"/>
    <w:rsid w:val="00D716C6"/>
    <w:rsid w:val="00D7401C"/>
    <w:rsid w:val="00D80D2F"/>
    <w:rsid w:val="00D80DF4"/>
    <w:rsid w:val="00D84243"/>
    <w:rsid w:val="00D9211E"/>
    <w:rsid w:val="00D94782"/>
    <w:rsid w:val="00D95B7F"/>
    <w:rsid w:val="00DA1204"/>
    <w:rsid w:val="00DA33F1"/>
    <w:rsid w:val="00DB25D3"/>
    <w:rsid w:val="00DD134E"/>
    <w:rsid w:val="00DD7A78"/>
    <w:rsid w:val="00DE2FDD"/>
    <w:rsid w:val="00DE460D"/>
    <w:rsid w:val="00DF3211"/>
    <w:rsid w:val="00E03269"/>
    <w:rsid w:val="00E03D66"/>
    <w:rsid w:val="00E0470F"/>
    <w:rsid w:val="00E061FF"/>
    <w:rsid w:val="00E07346"/>
    <w:rsid w:val="00E1100F"/>
    <w:rsid w:val="00E13616"/>
    <w:rsid w:val="00E2083C"/>
    <w:rsid w:val="00E22D64"/>
    <w:rsid w:val="00E326CB"/>
    <w:rsid w:val="00E34612"/>
    <w:rsid w:val="00E36974"/>
    <w:rsid w:val="00E3743B"/>
    <w:rsid w:val="00E41955"/>
    <w:rsid w:val="00E42F8D"/>
    <w:rsid w:val="00E605F3"/>
    <w:rsid w:val="00E62959"/>
    <w:rsid w:val="00E63F26"/>
    <w:rsid w:val="00E70C5B"/>
    <w:rsid w:val="00E7105C"/>
    <w:rsid w:val="00E76C81"/>
    <w:rsid w:val="00E81782"/>
    <w:rsid w:val="00E83903"/>
    <w:rsid w:val="00E879F8"/>
    <w:rsid w:val="00E90AAF"/>
    <w:rsid w:val="00E9171D"/>
    <w:rsid w:val="00EA0B12"/>
    <w:rsid w:val="00EA5DB5"/>
    <w:rsid w:val="00EA665E"/>
    <w:rsid w:val="00EB3054"/>
    <w:rsid w:val="00EB4F5C"/>
    <w:rsid w:val="00EC41E2"/>
    <w:rsid w:val="00EC5063"/>
    <w:rsid w:val="00ED086C"/>
    <w:rsid w:val="00ED0F93"/>
    <w:rsid w:val="00ED77FE"/>
    <w:rsid w:val="00EE4DC3"/>
    <w:rsid w:val="00EE54EE"/>
    <w:rsid w:val="00F14D2D"/>
    <w:rsid w:val="00F16340"/>
    <w:rsid w:val="00F2626F"/>
    <w:rsid w:val="00F26E7C"/>
    <w:rsid w:val="00F328D1"/>
    <w:rsid w:val="00F401A3"/>
    <w:rsid w:val="00F45770"/>
    <w:rsid w:val="00F577E9"/>
    <w:rsid w:val="00F603A4"/>
    <w:rsid w:val="00F709FA"/>
    <w:rsid w:val="00F70E09"/>
    <w:rsid w:val="00F82CB9"/>
    <w:rsid w:val="00F847E2"/>
    <w:rsid w:val="00F92E95"/>
    <w:rsid w:val="00F9578E"/>
    <w:rsid w:val="00FA0DC1"/>
    <w:rsid w:val="00FA587C"/>
    <w:rsid w:val="00FA7FE6"/>
    <w:rsid w:val="00FB0797"/>
    <w:rsid w:val="00FB3084"/>
    <w:rsid w:val="00FC1804"/>
    <w:rsid w:val="00FC28F5"/>
    <w:rsid w:val="00FD43D6"/>
    <w:rsid w:val="00FE466C"/>
    <w:rsid w:val="00FF5DCA"/>
    <w:rsid w:val="00FF6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717212"/>
  <w15:chartTrackingRefBased/>
  <w15:docId w15:val="{11B3D211-4F8E-D348-92D4-38CE5242C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Gotham Rounded"/>
    <w:qFormat/>
    <w:rsid w:val="007B538E"/>
    <w:pPr>
      <w:spacing w:after="200" w:line="360" w:lineRule="auto"/>
    </w:pPr>
    <w:rPr>
      <w:rFonts w:ascii="Gotham Rouned" w:eastAsia="SimSun" w:hAnsi="Gotham Rouned"/>
      <w:sz w:val="20"/>
      <w:szCs w:val="22"/>
    </w:rPr>
  </w:style>
  <w:style w:type="paragraph" w:styleId="Heading1">
    <w:name w:val="heading 1"/>
    <w:aliases w:val="Decom Heading 1"/>
    <w:basedOn w:val="Normal"/>
    <w:next w:val="Normal"/>
    <w:link w:val="Heading1Char"/>
    <w:uiPriority w:val="9"/>
    <w:qFormat/>
    <w:rsid w:val="0066450B"/>
    <w:pPr>
      <w:keepNext/>
      <w:keepLines/>
      <w:spacing w:before="240" w:after="120" w:line="312" w:lineRule="auto"/>
      <w:outlineLvl w:val="0"/>
    </w:pPr>
    <w:rPr>
      <w:rFonts w:ascii="Arial Black" w:eastAsiaTheme="majorEastAsia" w:hAnsi="Arial Black" w:cs="Times New Roman (Headings CS)"/>
      <w:b/>
      <w:caps/>
      <w:color w:val="2F5496" w:themeColor="accent1" w:themeShade="BF"/>
      <w:sz w:val="32"/>
      <w:szCs w:val="32"/>
    </w:rPr>
  </w:style>
  <w:style w:type="paragraph" w:styleId="Heading2">
    <w:name w:val="heading 2"/>
    <w:aliases w:val="Decom Heading 2"/>
    <w:basedOn w:val="Normal"/>
    <w:next w:val="Normal"/>
    <w:link w:val="Heading2Char"/>
    <w:uiPriority w:val="9"/>
    <w:unhideWhenUsed/>
    <w:qFormat/>
    <w:rsid w:val="0066450B"/>
    <w:pPr>
      <w:keepNext/>
      <w:keepLines/>
      <w:framePr w:wrap="around" w:vAnchor="text" w:hAnchor="text" w:y="1"/>
      <w:spacing w:before="40" w:after="120" w:line="312" w:lineRule="auto"/>
      <w:outlineLvl w:val="1"/>
    </w:pPr>
    <w:rPr>
      <w:rFonts w:ascii="Arial" w:eastAsiaTheme="majorEastAsia" w:hAnsi="Arial" w:cs="Times New Roman (Headings CS)"/>
      <w:b/>
      <w:color w:val="1F4E79" w:themeColor="accent5" w:themeShade="80"/>
      <w:sz w:val="26"/>
      <w:szCs w:val="26"/>
    </w:rPr>
  </w:style>
  <w:style w:type="paragraph" w:styleId="Heading3">
    <w:name w:val="heading 3"/>
    <w:aliases w:val="Decom Heading 3"/>
    <w:basedOn w:val="Normal"/>
    <w:next w:val="Normal"/>
    <w:link w:val="Heading3Char"/>
    <w:uiPriority w:val="9"/>
    <w:unhideWhenUsed/>
    <w:qFormat/>
    <w:rsid w:val="000C33F0"/>
    <w:pPr>
      <w:keepNext/>
      <w:keepLines/>
      <w:spacing w:before="240" w:after="120" w:line="312" w:lineRule="auto"/>
      <w:outlineLvl w:val="2"/>
    </w:pPr>
    <w:rPr>
      <w:rFonts w:ascii="Arial Black" w:eastAsiaTheme="majorEastAsia" w:hAnsi="Arial Black" w:cs="Times New Roman (Headings CS)"/>
      <w:b/>
      <w:caps/>
      <w:color w:val="000000" w:themeColor="text1"/>
      <w:sz w:val="22"/>
      <w:szCs w:val="24"/>
    </w:rPr>
  </w:style>
  <w:style w:type="paragraph" w:styleId="Heading7">
    <w:name w:val="heading 7"/>
    <w:aliases w:val="Decom Heading 7"/>
    <w:basedOn w:val="Normal"/>
    <w:next w:val="Normal"/>
    <w:link w:val="Heading7Char"/>
    <w:uiPriority w:val="9"/>
    <w:semiHidden/>
    <w:unhideWhenUsed/>
    <w:qFormat/>
    <w:rsid w:val="0076779E"/>
    <w:pPr>
      <w:keepNext/>
      <w:keepLines/>
      <w:spacing w:before="240" w:after="120" w:line="312" w:lineRule="auto"/>
      <w:outlineLvl w:val="6"/>
    </w:pPr>
    <w:rPr>
      <w:rFonts w:ascii="Arial" w:eastAsiaTheme="majorEastAsia" w:hAnsi="Arial" w:cstheme="majorBidi"/>
      <w:b/>
      <w:i/>
      <w:iCs/>
      <w:color w:val="1F4E79" w:themeColor="accent5" w:themeShade="80"/>
      <w:sz w:val="22"/>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Title">
    <w:name w:val="Cover Title"/>
    <w:basedOn w:val="Normal"/>
    <w:autoRedefine/>
    <w:qFormat/>
    <w:rsid w:val="007B538E"/>
    <w:rPr>
      <w:rFonts w:ascii="Gotham Rounded Medium" w:hAnsi="Gotham Rounded Medium" w:cs="Times New Roman (Body CS)"/>
      <w:color w:val="FFFFFF"/>
      <w:sz w:val="44"/>
      <w:szCs w:val="44"/>
    </w:rPr>
  </w:style>
  <w:style w:type="paragraph" w:customStyle="1" w:styleId="SubSectionTitle">
    <w:name w:val="Sub Section Title"/>
    <w:basedOn w:val="Normal"/>
    <w:autoRedefine/>
    <w:qFormat/>
    <w:rsid w:val="007B538E"/>
    <w:pPr>
      <w:spacing w:line="276" w:lineRule="auto"/>
    </w:pPr>
    <w:rPr>
      <w:rFonts w:ascii="Gotham Rounded Medium" w:hAnsi="Gotham Rounded Medium"/>
      <w:b/>
      <w:color w:val="00B0F0"/>
      <w:sz w:val="28"/>
      <w:szCs w:val="28"/>
    </w:rPr>
  </w:style>
  <w:style w:type="paragraph" w:customStyle="1" w:styleId="HeaderTitle">
    <w:name w:val="Header Title"/>
    <w:basedOn w:val="Header"/>
    <w:autoRedefine/>
    <w:qFormat/>
    <w:rsid w:val="007B538E"/>
    <w:pPr>
      <w:pageBreakBefore/>
      <w:tabs>
        <w:tab w:val="clear" w:pos="4680"/>
        <w:tab w:val="clear" w:pos="9360"/>
        <w:tab w:val="center" w:pos="4513"/>
        <w:tab w:val="right" w:pos="9026"/>
      </w:tabs>
      <w:spacing w:after="120" w:line="276" w:lineRule="auto"/>
    </w:pPr>
    <w:rPr>
      <w:color w:val="00B0F0"/>
      <w:sz w:val="22"/>
    </w:rPr>
  </w:style>
  <w:style w:type="paragraph" w:styleId="Header">
    <w:name w:val="header"/>
    <w:basedOn w:val="Normal"/>
    <w:link w:val="HeaderChar"/>
    <w:uiPriority w:val="99"/>
    <w:unhideWhenUsed/>
    <w:rsid w:val="007B538E"/>
    <w:pPr>
      <w:tabs>
        <w:tab w:val="center" w:pos="4680"/>
        <w:tab w:val="right" w:pos="9360"/>
      </w:tabs>
    </w:pPr>
  </w:style>
  <w:style w:type="character" w:customStyle="1" w:styleId="HeaderChar">
    <w:name w:val="Header Char"/>
    <w:basedOn w:val="DefaultParagraphFont"/>
    <w:link w:val="Header"/>
    <w:uiPriority w:val="99"/>
    <w:rsid w:val="007B538E"/>
    <w:rPr>
      <w:rFonts w:ascii="Arial" w:hAnsi="Arial"/>
      <w:b w:val="0"/>
      <w:i w:val="0"/>
      <w:sz w:val="22"/>
    </w:rPr>
  </w:style>
  <w:style w:type="paragraph" w:customStyle="1" w:styleId="NormalBulleted">
    <w:name w:val="Normal Bulleted"/>
    <w:basedOn w:val="Normal"/>
    <w:autoRedefine/>
    <w:qFormat/>
    <w:rsid w:val="00D42A00"/>
    <w:pPr>
      <w:numPr>
        <w:numId w:val="1"/>
      </w:numPr>
    </w:pPr>
    <w:rPr>
      <w:sz w:val="21"/>
      <w:lang w:val="en-US"/>
    </w:rPr>
  </w:style>
  <w:style w:type="paragraph" w:customStyle="1" w:styleId="NormalNumbered">
    <w:name w:val="Normal Numbered"/>
    <w:basedOn w:val="ListParagraph"/>
    <w:autoRedefine/>
    <w:qFormat/>
    <w:rsid w:val="00D42A00"/>
    <w:pPr>
      <w:numPr>
        <w:numId w:val="2"/>
      </w:numPr>
    </w:pPr>
    <w:rPr>
      <w:sz w:val="21"/>
    </w:rPr>
  </w:style>
  <w:style w:type="paragraph" w:styleId="ListParagraph">
    <w:name w:val="List Paragraph"/>
    <w:basedOn w:val="Normal"/>
    <w:uiPriority w:val="34"/>
    <w:qFormat/>
    <w:rsid w:val="00D42A00"/>
    <w:pPr>
      <w:ind w:left="720"/>
      <w:contextualSpacing/>
    </w:pPr>
  </w:style>
  <w:style w:type="paragraph" w:customStyle="1" w:styleId="CaptionWhite">
    <w:name w:val="Caption White"/>
    <w:basedOn w:val="Normal"/>
    <w:autoRedefine/>
    <w:qFormat/>
    <w:rsid w:val="00D42A00"/>
    <w:pPr>
      <w:spacing w:line="276" w:lineRule="auto"/>
      <w:jc w:val="both"/>
    </w:pPr>
    <w:rPr>
      <w:rFonts w:ascii="Calibri" w:hAnsi="Calibri"/>
      <w:noProof/>
      <w:color w:val="FFFFFF" w:themeColor="background1"/>
      <w:sz w:val="21"/>
      <w:lang w:val="en-IE" w:eastAsia="zh-CN"/>
    </w:rPr>
  </w:style>
  <w:style w:type="paragraph" w:customStyle="1" w:styleId="ParagraphTitleBlue">
    <w:name w:val="Paragraph Title Blue"/>
    <w:basedOn w:val="Normal"/>
    <w:autoRedefine/>
    <w:qFormat/>
    <w:rsid w:val="00D42A00"/>
    <w:rPr>
      <w:rFonts w:ascii="Gotham Rounded Medium" w:hAnsi="Gotham Rounded Medium"/>
      <w:color w:val="00B0F0"/>
      <w:sz w:val="24"/>
      <w:szCs w:val="24"/>
    </w:rPr>
  </w:style>
  <w:style w:type="table" w:styleId="GridTable6ColourfulAccent5">
    <w:name w:val="Grid Table 6 Colorful Accent 5"/>
    <w:aliases w:val="Wellington IT Table Style"/>
    <w:basedOn w:val="TableNormal"/>
    <w:uiPriority w:val="51"/>
    <w:rsid w:val="00D42A00"/>
    <w:rPr>
      <w:rFonts w:ascii="Gotham Rounded Medium" w:eastAsia="SimSun" w:hAnsi="Gotham Rounded Medium"/>
      <w:color w:val="009ADA"/>
      <w:sz w:val="22"/>
      <w:szCs w:val="22"/>
    </w:rPr>
    <w:tblPr>
      <w:tblStyleRowBandSize w:val="1"/>
      <w:tblStyleColBandSize w:val="1"/>
      <w:tblBorders>
        <w:top w:val="single" w:sz="4" w:space="0" w:color="009ADA"/>
        <w:left w:val="single" w:sz="4" w:space="0" w:color="009ADA"/>
        <w:bottom w:val="single" w:sz="4" w:space="0" w:color="009ADA"/>
        <w:right w:val="single" w:sz="4" w:space="0" w:color="009ADA"/>
        <w:insideH w:val="single" w:sz="4" w:space="0" w:color="009ADA"/>
        <w:insideV w:val="single" w:sz="4" w:space="0" w:color="009ADA"/>
      </w:tblBorders>
    </w:tblPr>
    <w:tcPr>
      <w:shd w:val="clear" w:color="auto" w:fill="ADE1FD"/>
      <w:vAlign w:val="center"/>
    </w:tc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D42A00"/>
    <w:rPr>
      <w:rFonts w:eastAsia="SimSun"/>
      <w:sz w:val="22"/>
      <w:szCs w:val="22"/>
    </w:rPr>
    <w:tblPr>
      <w:tblStyleRowBandSize w:val="1"/>
      <w:tblStyleColBandSize w:val="1"/>
      <w:tblBorders>
        <w:top w:val="single" w:sz="4" w:space="0" w:color="009ADA"/>
        <w:left w:val="single" w:sz="4" w:space="0" w:color="009ADA"/>
        <w:bottom w:val="single" w:sz="4" w:space="0" w:color="009ADA"/>
        <w:right w:val="single" w:sz="4" w:space="0" w:color="009ADA"/>
        <w:insideH w:val="single" w:sz="4" w:space="0" w:color="009ADA"/>
        <w:insideV w:val="single" w:sz="4" w:space="0" w:color="009ADA"/>
      </w:tblBorders>
    </w:tblPr>
    <w:tcPr>
      <w:shd w:val="clear" w:color="auto" w:fill="ADE1FD"/>
      <w:vAlign w:val="center"/>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MacroText">
    <w:name w:val="macro"/>
    <w:link w:val="MacroTextChar"/>
    <w:uiPriority w:val="99"/>
    <w:semiHidden/>
    <w:unhideWhenUsed/>
    <w:rsid w:val="00D35FEE"/>
    <w:pPr>
      <w:tabs>
        <w:tab w:val="left" w:pos="480"/>
        <w:tab w:val="left" w:pos="960"/>
        <w:tab w:val="left" w:pos="1440"/>
        <w:tab w:val="left" w:pos="1920"/>
        <w:tab w:val="left" w:pos="2400"/>
        <w:tab w:val="left" w:pos="2880"/>
        <w:tab w:val="left" w:pos="3360"/>
        <w:tab w:val="left" w:pos="3840"/>
        <w:tab w:val="left" w:pos="4320"/>
      </w:tabs>
      <w:spacing w:line="360" w:lineRule="auto"/>
    </w:pPr>
    <w:rPr>
      <w:rFonts w:ascii="Gotham Rounded Book" w:eastAsia="SimSun" w:hAnsi="Gotham Rounded Book" w:cs="Consolas"/>
      <w:sz w:val="20"/>
      <w:szCs w:val="20"/>
    </w:rPr>
  </w:style>
  <w:style w:type="character" w:customStyle="1" w:styleId="MacroTextChar">
    <w:name w:val="Macro Text Char"/>
    <w:basedOn w:val="DefaultParagraphFont"/>
    <w:link w:val="MacroText"/>
    <w:uiPriority w:val="99"/>
    <w:semiHidden/>
    <w:rsid w:val="00D35FEE"/>
    <w:rPr>
      <w:rFonts w:ascii="Gotham Rounded Book" w:eastAsia="SimSun" w:hAnsi="Gotham Rounded Book" w:cs="Consolas"/>
      <w:b w:val="0"/>
      <w:i w:val="0"/>
      <w:sz w:val="20"/>
      <w:szCs w:val="20"/>
    </w:rPr>
  </w:style>
  <w:style w:type="paragraph" w:customStyle="1" w:styleId="CoverPageTenderTitle">
    <w:name w:val="Cover Page Tender Title"/>
    <w:basedOn w:val="Normal"/>
    <w:qFormat/>
    <w:rsid w:val="0066450B"/>
    <w:pPr>
      <w:spacing w:after="0" w:line="288" w:lineRule="auto"/>
      <w:ind w:left="142" w:hanging="142"/>
    </w:pPr>
    <w:rPr>
      <w:rFonts w:ascii="Arial" w:eastAsiaTheme="minorHAnsi" w:hAnsi="Arial" w:cs="Arial"/>
      <w:b/>
      <w:bCs/>
      <w:color w:val="1F4E79" w:themeColor="accent5" w:themeShade="80"/>
      <w:sz w:val="21"/>
      <w:szCs w:val="21"/>
    </w:rPr>
  </w:style>
  <w:style w:type="character" w:customStyle="1" w:styleId="Heading1Char">
    <w:name w:val="Heading 1 Char"/>
    <w:aliases w:val="Decom Heading 1 Char"/>
    <w:basedOn w:val="DefaultParagraphFont"/>
    <w:link w:val="Heading1"/>
    <w:uiPriority w:val="9"/>
    <w:rsid w:val="0066450B"/>
    <w:rPr>
      <w:rFonts w:ascii="Arial Black" w:eastAsiaTheme="majorEastAsia" w:hAnsi="Arial Black" w:cs="Times New Roman (Headings CS)"/>
      <w:b/>
      <w:i w:val="0"/>
      <w:caps/>
      <w:color w:val="2F5496" w:themeColor="accent1" w:themeShade="BF"/>
      <w:sz w:val="32"/>
      <w:szCs w:val="32"/>
    </w:rPr>
  </w:style>
  <w:style w:type="character" w:customStyle="1" w:styleId="Heading3Char">
    <w:name w:val="Heading 3 Char"/>
    <w:aliases w:val="Decom Heading 3 Char"/>
    <w:basedOn w:val="DefaultParagraphFont"/>
    <w:link w:val="Heading3"/>
    <w:uiPriority w:val="9"/>
    <w:rsid w:val="000C33F0"/>
    <w:rPr>
      <w:rFonts w:ascii="Arial Black" w:eastAsiaTheme="majorEastAsia" w:hAnsi="Arial Black" w:cs="Times New Roman (Headings CS)"/>
      <w:b/>
      <w:i w:val="0"/>
      <w:caps/>
      <w:color w:val="000000" w:themeColor="text1"/>
      <w:sz w:val="22"/>
    </w:rPr>
  </w:style>
  <w:style w:type="character" w:customStyle="1" w:styleId="Heading2Char">
    <w:name w:val="Heading 2 Char"/>
    <w:aliases w:val="Decom Heading 2 Char"/>
    <w:basedOn w:val="DefaultParagraphFont"/>
    <w:link w:val="Heading2"/>
    <w:uiPriority w:val="9"/>
    <w:rsid w:val="0066450B"/>
    <w:rPr>
      <w:rFonts w:ascii="Arial" w:eastAsiaTheme="majorEastAsia" w:hAnsi="Arial" w:cs="Times New Roman (Headings CS)"/>
      <w:b/>
      <w:i w:val="0"/>
      <w:color w:val="1F4E79" w:themeColor="accent5" w:themeShade="80"/>
      <w:sz w:val="26"/>
      <w:szCs w:val="26"/>
    </w:rPr>
  </w:style>
  <w:style w:type="paragraph" w:styleId="ListContinue">
    <w:name w:val="List Continue"/>
    <w:aliases w:val="Decom List Continue"/>
    <w:basedOn w:val="Normal"/>
    <w:uiPriority w:val="99"/>
    <w:semiHidden/>
    <w:unhideWhenUsed/>
    <w:qFormat/>
    <w:rsid w:val="000C33F0"/>
    <w:pPr>
      <w:spacing w:before="240" w:after="120" w:line="312" w:lineRule="auto"/>
      <w:ind w:left="284"/>
      <w:contextualSpacing/>
    </w:pPr>
    <w:rPr>
      <w:rFonts w:ascii="Arial" w:eastAsiaTheme="minorHAnsi" w:hAnsi="Arial" w:cs="Times New Roman (Body CS)"/>
      <w:sz w:val="22"/>
      <w:szCs w:val="24"/>
    </w:rPr>
  </w:style>
  <w:style w:type="character" w:customStyle="1" w:styleId="Heading7Char">
    <w:name w:val="Heading 7 Char"/>
    <w:aliases w:val="Decom Heading 7 Char"/>
    <w:basedOn w:val="DefaultParagraphFont"/>
    <w:link w:val="Heading7"/>
    <w:uiPriority w:val="9"/>
    <w:semiHidden/>
    <w:rsid w:val="0076779E"/>
    <w:rPr>
      <w:rFonts w:ascii="Arial" w:eastAsiaTheme="majorEastAsia" w:hAnsi="Arial" w:cstheme="majorBidi"/>
      <w:b/>
      <w:i/>
      <w:iCs/>
      <w:color w:val="1F4E79" w:themeColor="accent5" w:themeShade="80"/>
      <w:sz w:val="22"/>
    </w:rPr>
  </w:style>
  <w:style w:type="paragraph" w:customStyle="1" w:styleId="BasicParagraph">
    <w:name w:val="[Basic Paragraph]"/>
    <w:basedOn w:val="Normal"/>
    <w:uiPriority w:val="99"/>
    <w:rsid w:val="00785031"/>
    <w:pPr>
      <w:autoSpaceDE w:val="0"/>
      <w:autoSpaceDN w:val="0"/>
      <w:adjustRightInd w:val="0"/>
      <w:spacing w:after="0"/>
      <w:textAlignment w:val="center"/>
    </w:pPr>
    <w:rPr>
      <w:rFonts w:asciiTheme="minorHAnsi" w:eastAsiaTheme="minorHAnsi" w:hAnsiTheme="minorHAnsi" w:cs="Minion Pro"/>
      <w:color w:val="000000"/>
      <w:szCs w:val="24"/>
    </w:rPr>
  </w:style>
  <w:style w:type="paragraph" w:customStyle="1" w:styleId="NoParagraphStyle">
    <w:name w:val="[No Paragraph Style]"/>
    <w:rsid w:val="00785031"/>
    <w:pPr>
      <w:autoSpaceDE w:val="0"/>
      <w:autoSpaceDN w:val="0"/>
      <w:adjustRightInd w:val="0"/>
      <w:spacing w:after="200" w:line="360" w:lineRule="auto"/>
      <w:textAlignment w:val="center"/>
    </w:pPr>
    <w:rPr>
      <w:rFonts w:ascii="Minion Pro" w:hAnsi="Minion Pro" w:cs="Minion Pro"/>
      <w:color w:val="000000"/>
      <w:sz w:val="20"/>
    </w:rPr>
  </w:style>
  <w:style w:type="paragraph" w:styleId="NoSpacing">
    <w:name w:val="No Spacing"/>
    <w:link w:val="NoSpacingChar"/>
    <w:uiPriority w:val="1"/>
    <w:qFormat/>
    <w:rsid w:val="00D7401C"/>
    <w:rPr>
      <w:rFonts w:eastAsiaTheme="minorEastAsia"/>
      <w:sz w:val="22"/>
      <w:szCs w:val="22"/>
      <w:lang w:val="en-US" w:eastAsia="zh-CN"/>
    </w:rPr>
  </w:style>
  <w:style w:type="character" w:customStyle="1" w:styleId="NoSpacingChar">
    <w:name w:val="No Spacing Char"/>
    <w:basedOn w:val="DefaultParagraphFont"/>
    <w:link w:val="NoSpacing"/>
    <w:uiPriority w:val="1"/>
    <w:rsid w:val="00D7401C"/>
    <w:rPr>
      <w:rFonts w:eastAsiaTheme="minorEastAsia"/>
      <w:sz w:val="22"/>
      <w:szCs w:val="22"/>
      <w:lang w:val="en-US" w:eastAsia="zh-CN"/>
    </w:rPr>
  </w:style>
  <w:style w:type="paragraph" w:styleId="Footer">
    <w:name w:val="footer"/>
    <w:basedOn w:val="Normal"/>
    <w:link w:val="FooterChar"/>
    <w:uiPriority w:val="99"/>
    <w:unhideWhenUsed/>
    <w:rsid w:val="00D740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401C"/>
    <w:rPr>
      <w:rFonts w:ascii="Gotham Rouned" w:eastAsia="SimSun" w:hAnsi="Gotham Rouned"/>
      <w:sz w:val="20"/>
      <w:szCs w:val="22"/>
    </w:rPr>
  </w:style>
  <w:style w:type="character" w:styleId="PageNumber">
    <w:name w:val="page number"/>
    <w:basedOn w:val="DefaultParagraphFont"/>
    <w:uiPriority w:val="99"/>
    <w:semiHidden/>
    <w:unhideWhenUsed/>
    <w:rsid w:val="00D7401C"/>
  </w:style>
  <w:style w:type="character" w:styleId="Hyperlink">
    <w:name w:val="Hyperlink"/>
    <w:basedOn w:val="DefaultParagraphFont"/>
    <w:uiPriority w:val="99"/>
    <w:unhideWhenUsed/>
    <w:rsid w:val="002724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ma.gov.au/learn/encounters-education/timelin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wm.gov.au/articles/atwar/colonial" TargetMode="External"/><Relationship Id="rId14"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4C88F1EF30C548A2608DCF63D6466D" ma:contentTypeVersion="14" ma:contentTypeDescription="Create a new document." ma:contentTypeScope="" ma:versionID="fcd0d2a5507e1cd34421da193fc1a60c">
  <xsd:schema xmlns:xsd="http://www.w3.org/2001/XMLSchema" xmlns:xs="http://www.w3.org/2001/XMLSchema" xmlns:p="http://schemas.microsoft.com/office/2006/metadata/properties" xmlns:ns2="79c4bec3-ec3f-463e-94a1-2489917975c3" xmlns:ns3="7cf52f4e-41eb-4983-b7a8-c787c92e5f98" targetNamespace="http://schemas.microsoft.com/office/2006/metadata/properties" ma:root="true" ma:fieldsID="5ffc9651aa5812f8a0a9d1e2056cd27a" ns2:_="" ns3:_="">
    <xsd:import namespace="79c4bec3-ec3f-463e-94a1-2489917975c3"/>
    <xsd:import namespace="7cf52f4e-41eb-4983-b7a8-c787c92e5f9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c4bec3-ec3f-463e-94a1-248991797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701f896-1688-46c9-9388-f01866670b49"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f52f4e-41eb-4983-b7a8-c787c92e5f9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9e0cfce-f41b-4736-983c-82e382930e15}" ma:internalName="TaxCatchAll" ma:showField="CatchAllData" ma:web="7cf52f4e-41eb-4983-b7a8-c787c92e5f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cf52f4e-41eb-4983-b7a8-c787c92e5f98" xsi:nil="true"/>
    <lcf76f155ced4ddcb4097134ff3c332f xmlns="79c4bec3-ec3f-463e-94a1-2489917975c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955AFE6-4D7B-4909-B7D2-EEBEDA7AC39E}"/>
</file>

<file path=customXml/itemProps2.xml><?xml version="1.0" encoding="utf-8"?>
<ds:datastoreItem xmlns:ds="http://schemas.openxmlformats.org/officeDocument/2006/customXml" ds:itemID="{9B7CB405-5F76-4916-8462-B1E03AD6557C}"/>
</file>

<file path=customXml/itemProps3.xml><?xml version="1.0" encoding="utf-8"?>
<ds:datastoreItem xmlns:ds="http://schemas.openxmlformats.org/officeDocument/2006/customXml" ds:itemID="{0DCD9D74-E85D-4359-AC8E-794C65852416}"/>
</file>

<file path=docProps/app.xml><?xml version="1.0" encoding="utf-8"?>
<Properties xmlns="http://schemas.openxmlformats.org/officeDocument/2006/extended-properties" xmlns:vt="http://schemas.openxmlformats.org/officeDocument/2006/docPropsVTypes">
  <Template>Normal.dotm</Template>
  <TotalTime>3</TotalTime>
  <Pages>7</Pages>
  <Words>2124</Words>
  <Characters>12113</Characters>
  <Application>Microsoft Office Word</Application>
  <DocSecurity>0</DocSecurity>
  <Lines>100</Lines>
  <Paragraphs>28</Paragraphs>
  <ScaleCrop>false</ScaleCrop>
  <Company/>
  <LinksUpToDate>false</LinksUpToDate>
  <CharactersWithSpaces>14209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Fiona Barclay</cp:lastModifiedBy>
  <cp:revision>2</cp:revision>
  <dcterms:created xsi:type="dcterms:W3CDTF">2025-06-17T21:43:00Z</dcterms:created>
  <dcterms:modified xsi:type="dcterms:W3CDTF">2025-06-17T21:43:00Z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0x010100594C88F1EF30C548A2608DCF63D6466D</vt:lpwstr>
  </property>
</Properties>
</file>